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B54E" w14:textId="7B39C296" w:rsidR="008161E4" w:rsidRPr="00B60A78" w:rsidRDefault="008161E4" w:rsidP="0083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ELEGY O</w:t>
      </w:r>
      <w:r w:rsidR="00B87EEB" w:rsidRPr="00B60A78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K</w:t>
      </w:r>
      <w:r w:rsidRPr="00B60A78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TATÁS INTÉZMÉNYFENNTARTÁSI MUNKACSOPORT</w:t>
      </w:r>
    </w:p>
    <w:p w14:paraId="4A0FF2A4" w14:textId="7DF1C6C9" w:rsidR="008161E4" w:rsidRPr="00B60A78" w:rsidRDefault="00B87EEB" w:rsidP="0083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Javaslatai</w:t>
      </w:r>
    </w:p>
    <w:p w14:paraId="3DDDDA8A" w14:textId="0315B315" w:rsidR="008161E4" w:rsidRPr="00F2791F" w:rsidRDefault="008161E4" w:rsidP="0083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99E4902" w14:textId="0BA6AD3D" w:rsidR="008161E4" w:rsidRPr="00F2791F" w:rsidRDefault="008161E4" w:rsidP="0083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2934512" w14:textId="77777777" w:rsidR="008306BD" w:rsidRPr="00F2791F" w:rsidRDefault="00913452" w:rsidP="0083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2791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Váradi Balázs</w:t>
      </w:r>
    </w:p>
    <w:p w14:paraId="1450C29F" w14:textId="4F2F2AB0" w:rsidR="00913452" w:rsidRPr="00F2791F" w:rsidRDefault="00913452" w:rsidP="0083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2791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2022 </w:t>
      </w:r>
      <w:r w:rsidR="00EF0DED" w:rsidRPr="00F2791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március </w:t>
      </w:r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</w:t>
      </w:r>
      <w:r w:rsidR="00F73BE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0</w:t>
      </w:r>
    </w:p>
    <w:p w14:paraId="663081BD" w14:textId="77777777" w:rsidR="00BB48B1" w:rsidRPr="006679FF" w:rsidRDefault="00BB48B1" w:rsidP="00816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2564D91" w14:textId="3E722A6D" w:rsidR="004A194B" w:rsidRPr="00B60A78" w:rsidRDefault="004A194B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Bevezetés</w:t>
      </w:r>
    </w:p>
    <w:p w14:paraId="600DBEA3" w14:textId="4884A8C8" w:rsidR="00E60427" w:rsidRPr="006679FF" w:rsidRDefault="00E60427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D40C113" w14:textId="5F857508" w:rsidR="0065700C" w:rsidRPr="006679FF" w:rsidRDefault="00E60427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Ez a rövid </w:t>
      </w:r>
      <w:r w:rsidR="00106F0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szöveg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ELEGY </w:t>
      </w:r>
      <w:proofErr w:type="spellStart"/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OSzB</w:t>
      </w:r>
      <w:proofErr w:type="spellEnd"/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Intézményfenntartási munkacsoportjának a „100 pontba” illeszkedő javaslatait tartalmazza</w:t>
      </w:r>
      <w:r w:rsidR="0065700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szöveg a munkacsoport 2022 januári</w:t>
      </w:r>
      <w:r w:rsidR="00EF0DE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-március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 megbeszélései nyomán</w:t>
      </w:r>
      <w:r w:rsidR="0065700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szakirodalom, a résztvevők véleménye, és a megismert párt- és programdokumentumok, a társmunkacsoportok munkájának lehető figyelembevételével</w:t>
      </w:r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az ELEGY </w:t>
      </w:r>
      <w:proofErr w:type="spellStart"/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OSzB</w:t>
      </w:r>
      <w:proofErr w:type="spellEnd"/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plénuma</w:t>
      </w:r>
      <w:proofErr w:type="spellEnd"/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előtti vita által felvetett megfontolások zömének beépítésével</w:t>
      </w:r>
      <w:r w:rsidR="0065700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készült el. </w:t>
      </w:r>
    </w:p>
    <w:p w14:paraId="28614BEC" w14:textId="77777777" w:rsidR="0065700C" w:rsidRPr="006679FF" w:rsidRDefault="0065700C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AEAF195" w14:textId="044BB61A" w:rsidR="00F934F8" w:rsidRPr="006679FF" w:rsidRDefault="0065700C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Itt a tágan értelmezett, tehát az óv</w:t>
      </w:r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dától az érettségiig</w:t>
      </w:r>
      <w:r w:rsidR="00E017E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illetve szakmai vizsgáig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(ISCED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0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-3) tartó oktatási</w:t>
      </w:r>
      <w:r w:rsidR="00F73BE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-nevelési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intézmények és az ezekhez kapcsolódó </w:t>
      </w:r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oktatási szolgáltatásokat nyújtó szervezetek (</w:t>
      </w:r>
      <w:r w:rsidR="001E55E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középiskolai kollégiumok, gyógypedagógiai ellátás, szakmai szolgáltatás</w:t>
      </w:r>
      <w:r w:rsidR="00C1517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</w:t>
      </w:r>
      <w:r w:rsidR="001E55E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szakszolgálatok</w:t>
      </w:r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</w:t>
      </w:r>
      <w:r w:rsidR="00C1517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E017E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működtetésével és </w:t>
      </w:r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fenntartásával kapcsolatos első (az országgyűlés és a kormány megalakulása után kb. egy év)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kérdésekre keressük a választ. </w:t>
      </w:r>
    </w:p>
    <w:p w14:paraId="32EF2614" w14:textId="77777777" w:rsidR="00F934F8" w:rsidRPr="006679FF" w:rsidRDefault="00F934F8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29FE3C6" w14:textId="6048A120" w:rsidR="00F934F8" w:rsidRPr="006679FF" w:rsidRDefault="0021266C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itt megfogalmazott javaslatok</w:t>
      </w:r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nem helyettesít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enek</w:t>
      </w:r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egy, feltétlenül szükséges, az érintettek részvételével zajló, az oktatás kereteire is vonatkozó </w:t>
      </w:r>
      <w:r w:rsidR="00C32FC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majdani </w:t>
      </w:r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érdemi </w:t>
      </w:r>
      <w:proofErr w:type="spellStart"/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deliberatív</w:t>
      </w:r>
      <w:proofErr w:type="spellEnd"/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folyamatot</w:t>
      </w:r>
      <w:r w:rsidR="00C32FC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hanem azt a kiinduló állapotot rögzítik, mely mellett annak le kell zajlania majd.</w:t>
      </w:r>
      <w:r w:rsidR="004963F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604C944D" w14:textId="77777777" w:rsidR="0021266C" w:rsidRPr="006679FF" w:rsidRDefault="0021266C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38D56CC" w14:textId="28A63148" w:rsidR="00F934F8" w:rsidRPr="006679FF" w:rsidRDefault="00C32FC4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</w:t>
      </w:r>
      <w:r w:rsidR="00F934F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gy ilyen folyamat 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ugyanis </w:t>
      </w:r>
      <w:r w:rsidR="00F934F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jó ideig el fog tartani, és nem lenne szerencsés a mostani, túlcentralizált, igazságtalan és diszfunkcionális (ld. alább) </w:t>
      </w:r>
      <w:r w:rsidR="00C1517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és ezért az érintettek között méltán népszerűtlen </w:t>
      </w:r>
      <w:r w:rsidR="00F934F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fenntartási keretek </w:t>
      </w:r>
      <w:r w:rsidR="00B9622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érintetlenül hagyása</w:t>
      </w:r>
      <w:r w:rsidR="00F934F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mellett beindítani</w:t>
      </w:r>
      <w:r w:rsidR="0096517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azt</w:t>
      </w:r>
      <w:r w:rsidR="00F934F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</w:p>
    <w:p w14:paraId="031577B8" w14:textId="77777777" w:rsidR="00F934F8" w:rsidRPr="006679FF" w:rsidRDefault="00F934F8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7E80A30" w14:textId="0AA378ED" w:rsidR="00F934F8" w:rsidRPr="006679FF" w:rsidRDefault="00F934F8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Célunk </w:t>
      </w:r>
      <w:r w:rsidR="00837D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itt 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tehát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elsősorban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2022 áprilisa után felálló oktatási kormányzat első egy évében minimális konzultáció</w:t>
      </w:r>
      <w:r w:rsidR="00C32FC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mellett</w:t>
      </w:r>
      <w:r w:rsidR="00F73BE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minél hamarabb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meghozandó döntéseinek orientálása.</w:t>
      </w:r>
    </w:p>
    <w:p w14:paraId="244BDBD9" w14:textId="5BDBAD93" w:rsidR="00E60427" w:rsidRPr="006679FF" w:rsidRDefault="00E60427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292BF7D" w14:textId="77777777" w:rsidR="00E60427" w:rsidRPr="006679FF" w:rsidRDefault="00E60427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DA4F4DA" w14:textId="4F67329D" w:rsidR="00913452" w:rsidRPr="00B60A78" w:rsidRDefault="004A194B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Európai k</w:t>
      </w:r>
      <w:r w:rsidR="00913452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itekintés</w:t>
      </w:r>
    </w:p>
    <w:p w14:paraId="33C71EEA" w14:textId="78F9D1E5" w:rsidR="00F934F8" w:rsidRPr="006679FF" w:rsidRDefault="00F934F8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2F624B2" w14:textId="53BAF519" w:rsidR="00F934F8" w:rsidRPr="006679FF" w:rsidRDefault="00F934F8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intézményfenntartás keretei az Európai Unióban rendkívül változatos képet mutatnak: az iskola, az önkormányzat, a régió és a központi állam között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ország méretétől, az önkormányzati</w:t>
      </w:r>
      <w:r w:rsidR="00106F0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ill. 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</w:t>
      </w:r>
      <w:r w:rsidR="00106F0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ö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der</w:t>
      </w:r>
      <w:r w:rsidR="00106F0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atív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berendezkedésétől és hagyományaitól függően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B9622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nagyon különböző a munkamegosztás, habár Magyarország a</w:t>
      </w:r>
      <w:r w:rsidR="0026612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2011-es átalakítással</w:t>
      </w:r>
      <w:r w:rsidR="00B9622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drámai módon a skála egyik, viszonylag nagy mértékben decentralizált végéről a </w:t>
      </w:r>
      <w:proofErr w:type="spellStart"/>
      <w:r w:rsidR="00B9622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legcentralizá</w:t>
      </w:r>
      <w:r w:rsidR="00106F0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</w:t>
      </w:r>
      <w:r w:rsidR="00B9622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tabb</w:t>
      </w:r>
      <w:proofErr w:type="spellEnd"/>
      <w:r w:rsidR="00B9622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másik végére került</w:t>
      </w:r>
      <w:r w:rsidR="00C1517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96517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 téren n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incs tehát egy egyértelmű jó </w:t>
      </w:r>
      <w:r w:rsidR="00837D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külföldi 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megoldás</w:t>
      </w:r>
      <w:r w:rsidR="0096517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melyet csak le kell másolnunk.</w:t>
      </w:r>
      <w:r w:rsidR="0021266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B9622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5B3F3AAD" w14:textId="77777777" w:rsidR="00F934F8" w:rsidRPr="006679FF" w:rsidRDefault="00F934F8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A94D219" w14:textId="0EA55A49" w:rsidR="00913452" w:rsidRPr="00B60A78" w:rsidRDefault="00B9622E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 hazai s</w:t>
      </w:r>
      <w:r w:rsidR="00913452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tatus quo</w:t>
      </w:r>
    </w:p>
    <w:p w14:paraId="55750390" w14:textId="6019E499" w:rsidR="00E60427" w:rsidRPr="006679FF" w:rsidRDefault="00E60427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7850846" w14:textId="1DE79E9B" w:rsidR="00B437FC" w:rsidRPr="006679FF" w:rsidRDefault="00266127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Az iskolafenn</w:t>
      </w:r>
      <w:r w:rsidR="0096517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tartás 2011 előtti rendszerét a települési önkormányzatok dominálták. Ez</w:t>
      </w:r>
      <w:r w:rsidR="00837D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rendszer</w:t>
      </w:r>
      <w:r w:rsidR="0096517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bevonta a helyi közösséget (és, ha voltak, a központi normatívát meghaladó</w:t>
      </w:r>
      <w:r w:rsidR="00837D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helyi plusz</w:t>
      </w:r>
      <w:r w:rsidR="0096517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erőforrásokat) az iskolával kapcsolatos fenntartói döntésekbe és egy jól definiált jogi személyt tett felelőssé fenntartóként, de a magyar önkormányzati rendszer </w:t>
      </w:r>
      <w:r w:rsidR="001509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</w:t>
      </w:r>
      <w:r w:rsidR="0096517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aprózott volta eredményeként a megyei jogú város</w:t>
      </w:r>
      <w:r w:rsidR="001509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oknál kisebb települési önkormányzatok, mint fenntartók </w:t>
      </w:r>
      <w:r w:rsidR="0096517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F73BE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is </w:t>
      </w:r>
      <w:r w:rsidR="001509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 elaprózott, a</w:t>
      </w:r>
      <w:r w:rsidR="00B437F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fenntartóra bízott oktatásirányítási feladatokhoz szükséges</w:t>
      </w:r>
      <w:r w:rsidR="001509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optimálisnál valószínűleg </w:t>
      </w:r>
      <w:r w:rsidR="00B437F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sokkal </w:t>
      </w:r>
      <w:r w:rsidR="001509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kisebb üzemméretben működő, és az iskolák közötti spontán szegregáció folyamatának gátat szabni strukturális okokból eleve képtelen</w:t>
      </w:r>
      <w:r w:rsidR="00F73BE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96517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="001509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szubo</w:t>
      </w:r>
      <w:r w:rsidR="00B437F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</w:t>
      </w:r>
      <w:r w:rsidR="001509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timális</w:t>
      </w:r>
      <w:proofErr w:type="spellEnd"/>
      <w:r w:rsidR="001509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fenntartói szerkezetet alkottak</w:t>
      </w:r>
      <w:r w:rsidR="00F73BE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(ld. </w:t>
      </w:r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="008D7722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Társadalmi Szelekció</w:t>
      </w:r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c. ELEGY </w:t>
      </w:r>
      <w:proofErr w:type="spellStart"/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OSzB</w:t>
      </w:r>
      <w:proofErr w:type="spellEnd"/>
      <w:r w:rsidR="008D77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anyagot</w:t>
      </w:r>
      <w:r w:rsidR="00F73BE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</w:t>
      </w:r>
      <w:r w:rsidR="001509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14:paraId="3570525C" w14:textId="05BAA6AE" w:rsidR="00B437FC" w:rsidRPr="006679FF" w:rsidRDefault="00C1517B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Mivel pedig a központi költségvetés eleve azzal számolt, hogy az önkormányzatok saját költségvetésükből kipótolják az iskolákét, a</w:t>
      </w:r>
      <w:r w:rsidR="00B437F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hátrányosabb térségekben az amúgy is legnehezebb oktatási feladatokkal szembesülő iskolákat pedig olyan szegény önkormányzatok tartották fenn, melyek azok minimális finanszírozását sem mindig tudták megoldani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óriási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finanszírozási problémák léptek fel épp azokban az iskolákban, ahol legnagyobb szükség lett volna a</w:t>
      </w:r>
      <w:r w:rsidR="00B437F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további forrásokra.</w:t>
      </w:r>
    </w:p>
    <w:p w14:paraId="5C63A0D1" w14:textId="7FFC3C60" w:rsidR="00266127" w:rsidRPr="006679FF" w:rsidRDefault="00150943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01346BA4" w14:textId="5F127B52" w:rsidR="00150943" w:rsidRPr="006679FF" w:rsidRDefault="00150943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További </w:t>
      </w:r>
      <w:r w:rsidR="00B437F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oktatási 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szolgáltatásokat pedig a megyei</w:t>
      </w:r>
      <w:r w:rsidR="005943B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fővárosi, megyei jogú városi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önkormányzatok tartottak fenn,</w:t>
      </w:r>
      <w:r w:rsidR="00235F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középfokú oktatás szakképzést folytató iskolái többségükben a megyei, fővárosi és a megyei jogi városi önkormányzatok fenntartásában működtek, mindez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változó mértékben fedte le </w:t>
      </w:r>
      <w:r w:rsidR="00B437F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területi adottságok (pl. a szakképzés esetén a helyi munkaerőpiacok) organikus kereteit.</w:t>
      </w:r>
    </w:p>
    <w:p w14:paraId="4A8D3FA8" w14:textId="77777777" w:rsidR="00B437FC" w:rsidRPr="006679FF" w:rsidRDefault="00B437FC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F7732E1" w14:textId="51C4FB2D" w:rsidR="00E60427" w:rsidRPr="006679FF" w:rsidRDefault="00E60427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CE4D068" w14:textId="263EB746" w:rsidR="00B437FC" w:rsidRPr="006679FF" w:rsidRDefault="00B437FC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2011-es köznevelési törvény, azon túl, hogy groteszk mértékben megfosztotta addigi autonómiájuktól magukat az iskolákat, </w:t>
      </w:r>
      <w:r w:rsidR="000804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2013-tól </w:t>
      </w:r>
      <w:r w:rsidR="00E017E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óvodák kivételével minden oktatási intézmény számára 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 rendkívül központosított állami fenntartói intézményt</w:t>
      </w:r>
      <w:r w:rsidR="00774FA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(Klebe</w:t>
      </w:r>
      <w:r w:rsidR="006313A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</w:t>
      </w:r>
      <w:r w:rsidR="00774FA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sberg [Intézményfenntartó] Központ)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alakított ki</w:t>
      </w:r>
      <w:r w:rsidR="00235F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E4002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9D52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2016 elején indult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9D52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gyorsan terjedő tanári és szülői t</w:t>
      </w:r>
      <w:r w:rsidR="00156C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</w:t>
      </w:r>
      <w:r w:rsidR="009D52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ltakozásokra adott egyfajta reakcióként a kormányzat a </w:t>
      </w:r>
      <w:r w:rsidR="00235F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katasztrofálisan </w:t>
      </w:r>
      <w:r w:rsidR="00E4002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diszfunkcionálisnak bizonyult</w:t>
      </w:r>
      <w:r w:rsidR="00774FA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9D52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szervezeti rendszert </w:t>
      </w:r>
      <w:r w:rsidR="006C744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2017-ben egy </w:t>
      </w:r>
      <w:proofErr w:type="spellStart"/>
      <w:r w:rsidR="006C744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dekoncentrált</w:t>
      </w:r>
      <w:proofErr w:type="spellEnd"/>
      <w:r w:rsidR="006C744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tankerületi rendszerrel („kicsi KLIK”) váltott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6C744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fel</w:t>
      </w:r>
      <w:r w:rsidR="007A4D7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r w:rsidR="00837D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7A4D7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0804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szakképzés fenntartása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7A4D7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pedig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0804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Nemzetgazdasági Minisztériumhoz</w:t>
      </w:r>
      <w:r w:rsidR="00E017E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annak megszűnte után az </w:t>
      </w:r>
      <w:r w:rsidR="00F73BE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pedig az </w:t>
      </w:r>
      <w:r w:rsidR="00E017E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Innovációs és Technológiai Minisztériumhoz</w:t>
      </w:r>
      <w:r w:rsidR="007A4D7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illetve az Agrárminisztériumhoz</w:t>
      </w:r>
      <w:r w:rsidR="00E017E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0804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került</w:t>
      </w:r>
      <w:r w:rsidR="007A4D7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oly módon, hogy az iskolákat szakképző centrumokba szervezték.</w:t>
      </w:r>
      <w:r w:rsidR="000804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</w:t>
      </w:r>
      <w:r w:rsidR="007A4D7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2020-tól a szakképzés minden szempontból elvált a közneveléstől, az SNI-s gyermekek szakiskolái, néhány ágazat szakgimnáziuma és a többcélú intézmények egy része visszakerült a tankerületekhez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az egészségügyi szakképzők többsége pedig az orvosegyetemekhez csatolódott.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Mindeközben közoktatási intézmények egyre-másra kerültek jobban finanszírozott és kevésbé </w:t>
      </w:r>
      <w:proofErr w:type="spellStart"/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szabályzott</w:t>
      </w:r>
      <w:proofErr w:type="spellEnd"/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egyházi fenntartásba is.</w:t>
      </w:r>
    </w:p>
    <w:p w14:paraId="6528421C" w14:textId="77777777" w:rsidR="00B437FC" w:rsidRPr="006679FF" w:rsidRDefault="00B437FC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7F45663" w14:textId="1084CCB7" w:rsidR="004A194B" w:rsidRPr="00B60A78" w:rsidRDefault="004A194B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Célok</w:t>
      </w:r>
      <w:r w:rsidR="00E9578A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 és </w:t>
      </w: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Alapelvek</w:t>
      </w:r>
    </w:p>
    <w:p w14:paraId="15E61C05" w14:textId="61853A70" w:rsidR="00E60427" w:rsidRPr="006679FF" w:rsidRDefault="00E60427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F1FCB61" w14:textId="7BEECA0E" w:rsidR="006C7442" w:rsidRPr="006679FF" w:rsidRDefault="006C7442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kormányváltás utáni átalakítás első hulláma során a </w:t>
      </w:r>
      <w:r w:rsidR="006313A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fenntartás </w:t>
      </w:r>
      <w:proofErr w:type="spellStart"/>
      <w:r w:rsidR="006313A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újraszabályozásakor</w:t>
      </w:r>
      <w:proofErr w:type="spellEnd"/>
      <w:r w:rsidR="00AB38F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a 100-pontban már </w:t>
      </w:r>
      <w:proofErr w:type="spellStart"/>
      <w:r w:rsidR="00AB38F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lefektettek</w:t>
      </w:r>
      <w:r w:rsidR="0075029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kel</w:t>
      </w:r>
      <w:proofErr w:type="spellEnd"/>
      <w:r w:rsidR="0075029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egybehangzóan, ill. azokon</w:t>
      </w:r>
      <w:r w:rsidR="00AB38F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túl a</w:t>
      </w:r>
      <w:r w:rsidR="006313A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következő </w:t>
      </w:r>
      <w:r w:rsidR="00AB38F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sajátos 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célokat és alapelveket javasoljuk figyelembe venni:</w:t>
      </w:r>
    </w:p>
    <w:p w14:paraId="396889BD" w14:textId="7A78F5FE" w:rsidR="006C7442" w:rsidRPr="006679FF" w:rsidRDefault="006C7442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9C89F3C" w14:textId="2E077766" w:rsidR="00750292" w:rsidRPr="006679FF" w:rsidRDefault="008D7722" w:rsidP="008F55ED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4.1 </w:t>
      </w:r>
      <w:r w:rsidR="0075029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oktatásfejlesztési folyamatok a továbbiakban úgy kell alakuljanak országos és helyi szinten, hogy fokozatosan csökkenjenek a döntően közpénzből megvalósuló oktatási szolgáltatások színvonala, eredményessége, szakmai és tárgyi feltételei közötti különbségek.</w:t>
      </w:r>
    </w:p>
    <w:p w14:paraId="4F63487D" w14:textId="07242AA9" w:rsidR="006313AA" w:rsidRPr="006679FF" w:rsidRDefault="008D7722" w:rsidP="008F55ED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 xml:space="preserve">4.2 </w:t>
      </w:r>
      <w:r w:rsidR="006313A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állami oktatás intézményeknek a szakmai, az ahhoz szükséges gazdálkodási autonómiáj</w:t>
      </w:r>
      <w:r w:rsidR="00837D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</w:t>
      </w:r>
      <w:r w:rsidR="006313A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 és a vezetőjük megválasztásába való érdemi beleszólás jogát a fenntartás kereteitől függetlenül vissza kell adni (</w:t>
      </w:r>
      <w:r w:rsidR="007F47D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ld. az </w:t>
      </w:r>
      <w:r w:rsidR="007F47D9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Oktatási Javaslatok az Ellenzéki Pártok számára</w:t>
      </w:r>
      <w:r w:rsidR="007F47D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c. ELEGY </w:t>
      </w:r>
      <w:proofErr w:type="spellStart"/>
      <w:r w:rsidR="007F47D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OSzB</w:t>
      </w:r>
      <w:proofErr w:type="spellEnd"/>
      <w:r w:rsidR="007F47D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anyagot</w:t>
      </w:r>
      <w:r w:rsidR="006313A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6313A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2580D1AE" w14:textId="70EB63DF" w:rsidR="005643FB" w:rsidRPr="006679FF" w:rsidRDefault="007F47D9" w:rsidP="005643FB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4.3 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5643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 intézményfenntartás feletti végső felelősséget újra a szubszidiaritás elvét érvényesítve, az érintett területen működő helyi</w:t>
      </w:r>
      <w:r w:rsidR="00EC03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speciális feladatok esetén megyei, fővárosi</w:t>
      </w:r>
      <w:r w:rsidR="005643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önkormányzatok (ill. kötelező együttműködéseik, társulásaik) kezébe kell adni. A minisztériumnak alárendelt Klebelsberg Központot meg kell szüntetni. </w:t>
      </w:r>
    </w:p>
    <w:p w14:paraId="660AF37F" w14:textId="5F2AF1E4" w:rsidR="00EC0384" w:rsidRPr="006679FF" w:rsidRDefault="007F47D9" w:rsidP="005643FB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4.4 </w:t>
      </w:r>
      <w:r w:rsidR="00EC03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235F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</w:t>
      </w:r>
      <w:r w:rsidR="00EC03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intézményfenntartást szervezeti</w:t>
      </w:r>
      <w:r w:rsidR="00235F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</w:t>
      </w:r>
      <w:r w:rsidR="00EC03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finanszírozási</w:t>
      </w:r>
      <w:r w:rsidR="008D1B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tekintetben</w:t>
      </w:r>
      <w:r w:rsidR="00EC03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célszerű elválasztani az</w:t>
      </w:r>
      <w:r w:rsidR="00235F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(azért felelős)</w:t>
      </w:r>
      <w:r w:rsidR="00EC03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önkormányzattól</w:t>
      </w:r>
      <w:r w:rsidR="00235F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14:paraId="65D519B1" w14:textId="54CC0789" w:rsidR="005643FB" w:rsidRPr="006679FF" w:rsidRDefault="007F47D9" w:rsidP="005643FB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4.5 </w:t>
      </w:r>
      <w:r w:rsidR="005643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intézményfenntartás keretei</w:t>
      </w:r>
      <w:r w:rsidR="000563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olyanok legyenek, hogy minden egyes fenntartó</w:t>
      </w:r>
      <w:r w:rsidR="005643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elég sok és sokféle intézményt öleljen fel ahhoz, hogy az erre a szintre telepített feladatokat (</w:t>
      </w:r>
      <w:r w:rsidR="000804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ld. alább, </w:t>
      </w:r>
      <w:r w:rsidR="005643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beleértve az intézmények közötti munkamegosztással, az intézmény feletti szinten allokálható erőforrásokkal való rendelkezés, az ezen a szinten a</w:t>
      </w:r>
      <w:r w:rsidR="000563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központilag előírt automatizmusok feletti költségvetési források elosztását, </w:t>
      </w:r>
      <w:r w:rsidR="00C460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is</w:t>
      </w:r>
      <w:r w:rsidR="000563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 képes legyen professzionálisan ellátni</w:t>
      </w:r>
      <w:r w:rsidR="00837D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5643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7B383DC9" w14:textId="38401FE7" w:rsidR="00BF0D13" w:rsidRPr="006679FF" w:rsidRDefault="007F47D9" w:rsidP="00EE6B37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4.6 </w:t>
      </w:r>
      <w:r w:rsidR="000563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intézményfenntartással kapcsolatos </w:t>
      </w:r>
      <w:r w:rsidR="006C01B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lokális </w:t>
      </w:r>
      <w:r w:rsidR="000563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kompetenciák (amennyire ezt más megfontolások engedik) minél nagyobb mértékben terjedjenek ki a</w:t>
      </w:r>
      <w:r w:rsidR="00837D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helyben szintén</w:t>
      </w:r>
      <w:r w:rsidR="000563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államilag finanszírozott, közoktatási feladatokat ellátó, de nem állami fenntartású (egyházi, alapítványi</w:t>
      </w:r>
      <w:r w:rsidR="001018A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felsőoktatási</w:t>
      </w:r>
      <w:r w:rsidR="002B34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fenntartású</w:t>
      </w:r>
      <w:r w:rsidR="000563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) </w:t>
      </w:r>
      <w:r w:rsidR="003520C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iskolákra is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 a szakképzés és a</w:t>
      </w:r>
      <w:r w:rsidR="00F8110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 általános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közoktatás fenntartói </w:t>
      </w:r>
      <w:r w:rsidR="00EC03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között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intézményesített</w:t>
      </w:r>
      <w:r w:rsidR="00D50A7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együttműködés</w:t>
      </w:r>
      <w:r w:rsidR="00EE6B3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 van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  <w:r w:rsidR="00C45CD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="00D50A7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tervezés, </w:t>
      </w:r>
      <w:r w:rsidR="00C45CD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="00D50A7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beiskolázás</w:t>
      </w:r>
      <w:r w:rsidR="00C45CD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a</w:t>
      </w:r>
      <w:r w:rsidR="00D50A7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szolgáltatások</w:t>
      </w:r>
      <w:r w:rsidR="00F8110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D50A7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terén, 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és </w:t>
      </w:r>
      <w:r w:rsidR="00D50A7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biztosítandó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együttműködés </w:t>
      </w:r>
      <w:r w:rsidR="00D50A7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közművelődés és a felnőttképzés területeivel is</w:t>
      </w:r>
      <w:r w:rsidR="003520C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EC03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nagyobb területekre vonatkozó feladatok – szakképzés, szakmai szolgáltatás, szakszolgálat – esetén a fenntartói döntésekbe be kell vonni a területen működő </w:t>
      </w:r>
      <w:r w:rsidR="00C2087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(egyházi, alapítványi, felsőoktatási) </w:t>
      </w:r>
      <w:r w:rsidR="00EC03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fenntartókat. </w:t>
      </w:r>
    </w:p>
    <w:p w14:paraId="705B0766" w14:textId="09C5ED48" w:rsidR="003520C6" w:rsidRPr="006679FF" w:rsidRDefault="007F47D9" w:rsidP="006C7442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4.7 </w:t>
      </w:r>
      <w:r w:rsidR="003520C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intézményfenntartás földrajzi keretei alkalmazkodjanak a feladattal kapcsolatos természetes társadalomföldrajzi keretekhez (lehetséges bejárási utak, szakképzés esetén</w:t>
      </w:r>
      <w:r w:rsidR="000804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helyi</w:t>
      </w:r>
      <w:r w:rsidR="003520C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munkaerőpiacok, kollégiumok esetén célközépiskolák</w:t>
      </w:r>
      <w:r w:rsidR="000804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merítési </w:t>
      </w:r>
      <w:proofErr w:type="gramStart"/>
      <w:r w:rsidR="000804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bázisa</w:t>
      </w:r>
      <w:r w:rsidR="003520C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proofErr w:type="gramEnd"/>
      <w:r w:rsidR="003520C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stb.)</w:t>
      </w:r>
    </w:p>
    <w:p w14:paraId="49F8898F" w14:textId="1488C416" w:rsidR="008F55ED" w:rsidRPr="006679FF" w:rsidRDefault="007F47D9" w:rsidP="006C7442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4.8 </w:t>
      </w:r>
      <w:r w:rsidR="008F55E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központi oktatásfinanszírozás csatornáinak egyszerre kell garantálnia az autonóm iskola gazdálkodásának kiszámítható kereteit és lehetővé tenni, hogy a  fenntartó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</w:t>
      </w:r>
      <w:r w:rsidR="008F55E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költségvetési (és az önkormányzattól kapott helyi) forrásokat</w:t>
      </w:r>
      <w:r w:rsidR="008F55E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helyi oktatási rendszer egyes iskolán túlnyúló céljai (köztük a </w:t>
      </w:r>
      <w:r w:rsidR="006C01B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minőségi oktatás-nevelés, a </w:t>
      </w:r>
      <w:r w:rsidR="008F55E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hatékonyság, a 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területi önkormányzatok által </w:t>
      </w:r>
      <w:r w:rsidR="00401EB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meghatározott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speciális célok</w:t>
      </w:r>
      <w:r w:rsidR="008F55E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különösen  a hátrányos helyzetű és speciális nevelési igényű tanulók sikeres integráció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ja</w:t>
      </w:r>
      <w:r w:rsidR="006C01B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szolgálatába állítsák azokat.</w:t>
      </w:r>
      <w:r w:rsidR="008F55E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</w:p>
    <w:p w14:paraId="2E685F4D" w14:textId="581F34DA" w:rsidR="00EE6B37" w:rsidRPr="006679FF" w:rsidRDefault="007F47D9" w:rsidP="006C7442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4.9 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intézményfenntartók döntéseikbe vonják be az intézmények dolgozóit,</w:t>
      </w:r>
      <w:r w:rsidR="00E9578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BF0D1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iskolahasználókat, szakképzés esetén a gazdasági szereplőket</w:t>
      </w:r>
      <w:r w:rsidR="00EE6B3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</w:p>
    <w:p w14:paraId="01B1C9EC" w14:textId="2F4F3C61" w:rsidR="008E0A9E" w:rsidRPr="006679FF" w:rsidRDefault="007F47D9" w:rsidP="00ED0218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4.10 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fenntartók </w:t>
      </w:r>
      <w:r w:rsidR="00ED021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legyenek </w:t>
      </w:r>
      <w:proofErr w:type="spellStart"/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számonkérhetőek</w:t>
      </w:r>
      <w:proofErr w:type="spellEnd"/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</w:t>
      </w:r>
      <w:r w:rsidR="00ED021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azaz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akár pénzbeli elvonással</w:t>
      </w:r>
      <w:r w:rsidR="00ED021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akár személyes felelősség megállapításával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büntethetőek), ami a rájuk vonatkozó (köztük, bár nem kizárólag, az integrációt célzó</w:t>
      </w:r>
      <w:r w:rsidR="00ED021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) 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szabályok</w:t>
      </w:r>
      <w:r w:rsidR="00ED021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betartását illet</w:t>
      </w:r>
      <w:r w:rsidR="00401EB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</w:t>
      </w:r>
      <w:r w:rsidR="00ED021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8E0A9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7D1BE522" w14:textId="08AB5363" w:rsidR="006313AA" w:rsidRPr="006679FF" w:rsidRDefault="007F47D9" w:rsidP="006C7442">
      <w:pPr>
        <w:pStyle w:val="Listaszerbekezds"/>
        <w:numPr>
          <w:ilvl w:val="0"/>
          <w:numId w:val="3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4.11 </w:t>
      </w:r>
      <w:r w:rsidR="005643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intézményfenntartás földrajzi keretein a tucat év alatti harmadik átrendezés okozta újabb sokkot minimalizálva, </w:t>
      </w:r>
      <w:r w:rsidR="006C01B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tervezett </w:t>
      </w:r>
      <w:r w:rsidR="000563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széleskörű egyeztetést </w:t>
      </w:r>
      <w:proofErr w:type="gramStart"/>
      <w:r w:rsidR="000563F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megelőzően </w:t>
      </w:r>
      <w:r w:rsidR="00C2087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központilag</w:t>
      </w:r>
      <w:proofErr w:type="gramEnd"/>
      <w:r w:rsidR="00C2087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5643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csak a legszükségesebb mértékben változtassunk</w:t>
      </w:r>
      <w:r w:rsidR="006C01B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5643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6313A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67EEA033" w14:textId="303B450A" w:rsidR="00E60427" w:rsidRPr="006679FF" w:rsidRDefault="00E60427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DC202DC" w14:textId="2ABD3B73" w:rsidR="00ED0218" w:rsidRPr="00B60A78" w:rsidRDefault="003520C6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Az i</w:t>
      </w:r>
      <w:r w:rsidR="004A194B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ntézményf</w:t>
      </w:r>
      <w:r w:rsidR="00913452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enntartási keretek</w:t>
      </w: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 funkciói</w:t>
      </w:r>
    </w:p>
    <w:p w14:paraId="68C0BBB4" w14:textId="77777777" w:rsidR="00C274C1" w:rsidRPr="006679FF" w:rsidRDefault="00C274C1" w:rsidP="00C274C1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25C213F" w14:textId="5DC91FCE" w:rsidR="009C321E" w:rsidRPr="007F47D9" w:rsidRDefault="00ED0218" w:rsidP="00B60A78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intézményfenntartás k</w:t>
      </w:r>
      <w:r w:rsidR="0096621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eretei alapvető fontosságú részét képezik a közoktatás intézményrendszerének.</w:t>
      </w:r>
      <w:r w:rsidR="0096621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96621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Koncepciónkban a fenntartó alapértelmezésben azokat a </w:t>
      </w:r>
      <w:r w:rsidR="00966214" w:rsidRPr="006679FF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funkciókat</w:t>
      </w:r>
      <w:r w:rsidR="0096621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látja el, melyekkel a 2011-es átalakítás előtt (és az óvodákkal kapcsolatban máig) a fenntartó önkormányzatok bírtak, melyek közül a</w:t>
      </w:r>
      <w:r w:rsidR="00AF5C2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 alábbiak a</w:t>
      </w:r>
      <w:r w:rsidR="0096621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legfontosabbak</w:t>
      </w:r>
      <w:r w:rsidR="00395F8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A </w:t>
      </w:r>
      <w:proofErr w:type="spellStart"/>
      <w:r w:rsidR="00395F8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fenntartó</w:t>
      </w:r>
      <w:r w:rsidR="0037548D" w:rsidRPr="0092598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spellEnd"/>
      <w:r w:rsidR="00AF5C2F" w:rsidRPr="00B60A7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korábban állami intézményként működött</w:t>
      </w:r>
      <w:r w:rsidR="0037548D" w:rsidRPr="00B60A7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intézmény</w:t>
      </w:r>
      <w:r w:rsidR="00E34476" w:rsidRPr="00B60A7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ek</w:t>
      </w:r>
      <w:r w:rsidR="007F47D9" w:rsidRPr="00B60A7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kel (a </w:t>
      </w:r>
      <w:proofErr w:type="gramStart"/>
      <w:r w:rsidR="007F47D9" w:rsidRPr="00B60A7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továbbiakban :</w:t>
      </w:r>
      <w:proofErr w:type="gramEnd"/>
      <w:r w:rsidR="007F47D9" w:rsidRPr="00B60A7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oktatási-nevelési közintézmények) kapcsolatban</w:t>
      </w:r>
      <w:r w:rsidR="005D0362" w:rsidRPr="007F47D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7F47D9" w:rsidRPr="00B60A7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körében</w:t>
      </w:r>
      <w:r w:rsidR="0092598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</w:p>
    <w:p w14:paraId="3EA9742A" w14:textId="369813DB" w:rsidR="0037548D" w:rsidRPr="006679FF" w:rsidRDefault="00462ADC" w:rsidP="00E34476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5.1 </w:t>
      </w:r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dönt az oktatási-nevelési közintézmények 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létesítéséről, átszervezéséről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megszüntetéséről,  tevékenységi</w:t>
      </w:r>
      <w:proofErr w:type="gramEnd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körének  módosításáról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5D8701BD" w14:textId="033E9C11" w:rsidR="00E34476" w:rsidRPr="006679FF" w:rsidRDefault="00462ADC" w:rsidP="00E34476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5.2 </w:t>
      </w:r>
      <w:proofErr w:type="gramStart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 jelentkezés</w:t>
      </w:r>
      <w:proofErr w:type="gramEnd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módjáról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035B2D6D" w14:textId="13F5F40C" w:rsidR="00E34476" w:rsidRPr="006679FF" w:rsidRDefault="00462ADC" w:rsidP="00E34476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5.3 </w:t>
      </w:r>
      <w:r w:rsidR="00395F8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jóváhagyja </w:t>
      </w:r>
      <w:proofErr w:type="gramStart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  oktatási</w:t>
      </w:r>
      <w:proofErr w:type="gramEnd"/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-nevelési közintézmények 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költségvetését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</w:p>
    <w:p w14:paraId="0FE47012" w14:textId="5DA028DB" w:rsidR="00E34476" w:rsidRPr="006679FF" w:rsidRDefault="00462ADC" w:rsidP="00E34476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5.4 </w:t>
      </w:r>
      <w:proofErr w:type="gramStart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 adott</w:t>
      </w:r>
      <w:proofErr w:type="gramEnd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nevelési  évben  indítható  </w:t>
      </w:r>
      <w:r w:rsidR="00E3447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létszámot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</w:p>
    <w:p w14:paraId="0FE1D354" w14:textId="731918CC" w:rsidR="00E34476" w:rsidRPr="006679FF" w:rsidRDefault="00462ADC" w:rsidP="00E34476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5.5 </w:t>
      </w:r>
      <w:r w:rsidR="0092598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felügyeli az </w:t>
      </w:r>
      <w:proofErr w:type="spellStart"/>
      <w:r w:rsidR="0092598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intézmények</w:t>
      </w:r>
      <w:r w:rsidR="00CE48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saját</w:t>
      </w:r>
      <w:proofErr w:type="spellEnd"/>
      <w:r w:rsidR="00CE48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minőségirányítási rendszeré</w:t>
      </w:r>
      <w:r w:rsidR="0092598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nek működését</w:t>
      </w:r>
      <w:r w:rsidR="00BB7DD0">
        <w:rPr>
          <w:rStyle w:val="Lbjegyzet-hivatkozs"/>
          <w:rFonts w:ascii="Arial" w:eastAsia="Times New Roman" w:hAnsi="Arial" w:cs="Arial"/>
          <w:color w:val="222222"/>
          <w:sz w:val="24"/>
          <w:szCs w:val="24"/>
          <w:lang w:eastAsia="hu-HU"/>
        </w:rPr>
        <w:footnoteReference w:id="1"/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</w:p>
    <w:p w14:paraId="0A9F6CC9" w14:textId="24D93662" w:rsidR="00E34476" w:rsidRPr="006679FF" w:rsidRDefault="00462ADC" w:rsidP="00E34476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5.6 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ellenőrzi </w:t>
      </w:r>
      <w:r w:rsidR="00877F2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</w:t>
      </w:r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oktatási-nevelési közintézmények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  <w:r w:rsidR="00877F2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gazdálkodását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működésének</w:t>
      </w:r>
      <w:proofErr w:type="gramEnd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törvényességét,  hatékonyságát,  </w:t>
      </w:r>
      <w:r w:rsidR="00E3447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szakmai  munka eredményességét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</w:p>
    <w:p w14:paraId="74E1375D" w14:textId="3C081336" w:rsidR="00E34476" w:rsidRPr="006679FF" w:rsidRDefault="00462ADC" w:rsidP="00E34476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5.7 </w:t>
      </w:r>
      <w:r w:rsidR="00395F8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telephelyek szerinti önkormányzatok és a tantestület egyetértésével   </w:t>
      </w:r>
      <w:proofErr w:type="gramStart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megbízza  a</w:t>
      </w:r>
      <w:r w:rsidR="00877F2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</w:t>
      </w:r>
      <w:proofErr w:type="gramEnd"/>
      <w:r w:rsidR="00877F2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oktatási-nevelési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  <w:r w:rsidR="00877F2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intézmény  vezetőjét</w:t>
      </w:r>
      <w:r w:rsidR="00D97F61" w:rsidRPr="006679FF">
        <w:rPr>
          <w:rStyle w:val="Lbjegyzet-hivatkozs"/>
          <w:rFonts w:ascii="Arial" w:eastAsia="Times New Roman" w:hAnsi="Arial" w:cs="Arial"/>
          <w:color w:val="222222"/>
          <w:sz w:val="24"/>
          <w:szCs w:val="24"/>
          <w:lang w:eastAsia="hu-HU"/>
        </w:rPr>
        <w:footnoteReference w:id="2"/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 gyakorolja  felette  a  munkáltatói jogokat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4548BD8C" w14:textId="1CD5CEA5" w:rsidR="00E34476" w:rsidRPr="006679FF" w:rsidRDefault="00462ADC" w:rsidP="00E34476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5.8 </w:t>
      </w:r>
      <w:r w:rsidR="00CE48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ellenőrzi</w:t>
      </w:r>
      <w:r w:rsidR="00CE482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877F2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intézmény  szervezeti</w:t>
      </w:r>
      <w:proofErr w:type="gramEnd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és  működési  szabályzatát, minőségirányítási  programját,  és  a  nevelési-  oktatási  intézmény  nevelési,  illetve pedagógiai  programját,  házirendjét</w:t>
      </w:r>
      <w:bookmarkStart w:id="0" w:name="_Hlk99628807"/>
      <w:r w:rsidR="00E3447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  <w:bookmarkEnd w:id="0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0C95B3B6" w14:textId="5165431E" w:rsidR="0037548D" w:rsidRPr="006679FF" w:rsidRDefault="00462ADC" w:rsidP="00E34476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5.9 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értékeli </w:t>
      </w:r>
      <w:proofErr w:type="gramStart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877F2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</w:t>
      </w:r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intézmény</w:t>
      </w:r>
      <w:proofErr w:type="gramEnd"/>
      <w:r w:rsidR="0037548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foglalkozási,  valamint  pedagógiai programjában  meghatározott  feladatok  végrehajtását,  a  pedagógiai-  szakmai munka eredményességét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</w:p>
    <w:p w14:paraId="6C1B2ED5" w14:textId="34CCB210" w:rsidR="00462ADC" w:rsidRPr="006679FF" w:rsidRDefault="00462ADC" w:rsidP="00220813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5.10 </w:t>
      </w:r>
      <w:r w:rsidR="00F66A36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biztosítja a </w:t>
      </w:r>
      <w:proofErr w:type="spellStart"/>
      <w:r w:rsidR="00F66A36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vallásilag</w:t>
      </w:r>
      <w:proofErr w:type="spellEnd"/>
      <w:r w:rsidR="00F66A36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/világnézetileg semleges közoktatáshoz való hozzáférést</w:t>
      </w:r>
      <w:r w:rsidR="009452CA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(akár azáltal, hogy</w:t>
      </w:r>
      <w:r w:rsidR="003D20D1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biztosítja, minden gyermeknek jelentős akadályok nélkül</w:t>
      </w:r>
      <w:r w:rsidR="00E9578A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lehetőleg helyben</w:t>
      </w:r>
      <w:r w:rsidR="003D20D1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rendelkezésére álljon önkormányzati fenntartású iskola, akár azáltal, hogy az egyházi intézményeken belül gar</w:t>
      </w:r>
      <w:r w:rsidR="00E9578A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3D20D1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nt</w:t>
      </w:r>
      <w:r w:rsidR="00E9578A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</w:t>
      </w:r>
      <w:r w:rsidR="003D20D1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lja a</w:t>
      </w:r>
      <w:r w:rsidR="00EE6B37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világnézetileg semleges közoktatáshoz</w:t>
      </w:r>
      <w:r w:rsidR="003D20D1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való hozzáférést)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</w:p>
    <w:p w14:paraId="29DDE7E3" w14:textId="5D199924" w:rsidR="00845CCB" w:rsidRPr="00462ADC" w:rsidRDefault="00462ADC" w:rsidP="00220813">
      <w:pPr>
        <w:pStyle w:val="Listaszerbekezds"/>
        <w:numPr>
          <w:ilvl w:val="0"/>
          <w:numId w:val="4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5.11 </w:t>
      </w:r>
      <w:r w:rsidR="00845CCB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fenti jogosultságokat is felhasználva, </w:t>
      </w:r>
      <w:r w:rsidR="00925989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Oktatási Hivatal v. utódja által rendelkezésre bocsátott </w:t>
      </w:r>
      <w:proofErr w:type="spellStart"/>
      <w:r w:rsidR="00925989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szocio</w:t>
      </w:r>
      <w:proofErr w:type="spellEnd"/>
      <w:r w:rsidR="00925989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-ökonómiai és szegregációs mutatók felhasználásával </w:t>
      </w:r>
      <w:proofErr w:type="spellStart"/>
      <w:r w:rsidR="00925989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monitorozza</w:t>
      </w:r>
      <w:proofErr w:type="spellEnd"/>
      <w:r w:rsidR="00925989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társadalmi esélyegyenlőség érvényesülését az által a fenntartott </w:t>
      </w:r>
      <w:proofErr w:type="spellStart"/>
      <w:r w:rsidR="00925989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intézményekeben</w:t>
      </w:r>
      <w:proofErr w:type="spellEnd"/>
      <w:r w:rsidR="00925989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és </w:t>
      </w:r>
      <w:proofErr w:type="gramStart"/>
      <w:r w:rsidR="00845CCB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</w:t>
      </w:r>
      <w:r w:rsidR="00836D0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proofErr w:type="gramEnd"/>
      <w:r w:rsidR="00845CCB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objektív </w:t>
      </w:r>
      <w:proofErr w:type="spellStart"/>
      <w:r w:rsidR="00845CCB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szocio</w:t>
      </w:r>
      <w:proofErr w:type="spellEnd"/>
      <w:r w:rsidR="00845CCB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-ökonómiai mutatók ezt indokolják</w:t>
      </w:r>
      <w:r w:rsidR="00EE6B37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845CCB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925989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szegregáció-megelőző v. </w:t>
      </w:r>
      <w:proofErr w:type="spellStart"/>
      <w:r w:rsidR="00845CCB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deszegregációs</w:t>
      </w:r>
      <w:proofErr w:type="spellEnd"/>
      <w:r w:rsidR="00845CCB" w:rsidRPr="00462AD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tervet alkot és hajt végre.</w:t>
      </w:r>
    </w:p>
    <w:p w14:paraId="0CF5165D" w14:textId="6F4E0959" w:rsidR="00CD5ADC" w:rsidRPr="006679FF" w:rsidRDefault="00CD5ADC" w:rsidP="00B31130">
      <w:pPr>
        <w:pStyle w:val="Listaszerbekezds"/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E633574" w14:textId="4BD15470" w:rsidR="0037548D" w:rsidRPr="006679FF" w:rsidRDefault="00836D0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5.12 </w:t>
      </w:r>
      <w:r w:rsidR="00AA458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Ezek közül a feladatok közül a rutin/adminisztratív jellegűeket több fenntartó közösen, vagy szerződéses formában is elláthatja. </w:t>
      </w:r>
    </w:p>
    <w:p w14:paraId="0E763203" w14:textId="77777777" w:rsidR="00AA4582" w:rsidRPr="006679FF" w:rsidRDefault="00AA4582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6C89E23" w14:textId="6F82B5B2" w:rsidR="00356550" w:rsidRPr="006679FF" w:rsidRDefault="00836D0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5.13 </w:t>
      </w:r>
      <w:r w:rsidR="00CD5AD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Ezen kötelező feladatok mellett a fenntartók koordinációs és támogató feladatokat is elláthatnak.</w:t>
      </w:r>
      <w:r w:rsidR="0035655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Különösen: a szakképzésben a területi koordináció mellett biztosítani kell az ágazati koordinációt is. Ebben az ágazati készségtanácsoknak szerepet kell </w:t>
      </w:r>
      <w:r w:rsidR="0035655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adni. Emellett szükség van országos koordinációra, és a foglalkoztatási, gazdaságfejlesztési szempontok figyelembevételi lehetőségére is.</w:t>
      </w:r>
    </w:p>
    <w:p w14:paraId="6DC3C8ED" w14:textId="166DB5D7" w:rsidR="00356550" w:rsidRPr="006679FF" w:rsidRDefault="00356550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9E5C59C" w14:textId="77777777" w:rsidR="00356550" w:rsidRPr="006679FF" w:rsidRDefault="00356550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EECF21B" w14:textId="2BD7D353" w:rsidR="008878AE" w:rsidRPr="00836D0A" w:rsidRDefault="00836D0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5.14 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fenntartók fölött nem áll központi irányító szervezet, munkájukat az Alaptörvény</w:t>
      </w:r>
      <w:r w:rsidR="00EE6B3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törvények, országgyűlési határozatok, és törvény által meghatározott körben születő kormányhatározatok és miniszteri rendeletek alapján végzik.</w:t>
      </w:r>
      <w:r w:rsidR="003D20D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Törvényességi felügyeletüket a Kormányhivatalok</w:t>
      </w:r>
      <w:r w:rsidR="004C263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látják el</w:t>
      </w:r>
      <w:r w:rsidR="003D20D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szakmai kérdésekben iránymutatást</w:t>
      </w:r>
      <w:r w:rsidR="00877F2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segítséget</w:t>
      </w:r>
      <w:r w:rsidR="003D20D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Oktatási Hivataltól (v. utódjától), szakképzési kérdésekben az</w:t>
      </w:r>
      <w:r w:rsidR="004C263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="004C263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NSzFH-tól</w:t>
      </w:r>
      <w:proofErr w:type="spellEnd"/>
      <w:r w:rsidR="004C263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(v. utódjától) kapnak</w:t>
      </w:r>
      <w:r w:rsidRPr="00B60A7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munkájukat a tanfelügyelet funkcióját ellátó központi szervezet rendszeresen értékeli.</w:t>
      </w:r>
    </w:p>
    <w:p w14:paraId="2101A9C8" w14:textId="57DB1660" w:rsidR="008878AE" w:rsidRPr="006679FF" w:rsidRDefault="008878AE" w:rsidP="00ED0218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AF64DF9" w14:textId="70615D6F" w:rsidR="008878AE" w:rsidRPr="006679FF" w:rsidRDefault="008878AE" w:rsidP="00ED0218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CD52468" w14:textId="1CAC79F5" w:rsidR="00C274C1" w:rsidRPr="00B60A78" w:rsidRDefault="00C274C1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 fenntartás f</w:t>
      </w:r>
      <w:r w:rsidR="009B7308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öldrajzi </w:t>
      </w: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keretei, méretek</w:t>
      </w:r>
      <w:r w:rsidR="009B7308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 </w:t>
      </w:r>
    </w:p>
    <w:p w14:paraId="72C45746" w14:textId="77777777" w:rsidR="00C274C1" w:rsidRPr="006679FF" w:rsidRDefault="00C274C1" w:rsidP="00ED0218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920CA70" w14:textId="77777777" w:rsidR="00324AAA" w:rsidRDefault="00395F80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Egy-egy fenntartó a fenti célok és alapelvek szerint legalább járás</w:t>
      </w:r>
      <w:r w:rsidR="007D51B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nyi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8E55B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földrajzi kereteket kell, hogy lefedjen</w:t>
      </w:r>
      <w:r w:rsidR="00FC5D6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de</w:t>
      </w:r>
      <w:r w:rsidR="00EE6B3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egy járás lehet túl kicsi, vagy egészében is oly hátrányos helyzetű, hogy </w:t>
      </w:r>
      <w:r w:rsidR="0005292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nem adekvát kerete a fenntartói feladatok ellátásának. Pl.</w:t>
      </w:r>
      <w:r w:rsidR="00FC5D6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nem egy járásban összesen</w:t>
      </w:r>
      <w:r w:rsidR="007D51B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C274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csak </w:t>
      </w:r>
      <w:r w:rsidR="007D51B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kb.</w:t>
      </w:r>
      <w:r w:rsidR="00FC5D6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800-100</w:t>
      </w:r>
      <w:r w:rsidR="008840D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0</w:t>
      </w:r>
      <w:r w:rsidR="00FC5D6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iskoláskorú gyermek van</w:t>
      </w:r>
      <w:r w:rsidR="007D51B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és van olyan járás (pl. a </w:t>
      </w:r>
      <w:proofErr w:type="spellStart"/>
      <w:r w:rsidR="007D51B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Cigándi</w:t>
      </w:r>
      <w:proofErr w:type="spellEnd"/>
      <w:r w:rsidR="007D51B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), ahol az összes óvodás- (654) és iskoláskorú (1757) gyermek közül</w:t>
      </w:r>
      <w:r w:rsidR="00EA7D4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(korábbi, a Bodrogközi kistérség adatait használva)</w:t>
      </w:r>
      <w:r w:rsidR="007D51B9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gyermekek</w:t>
      </w:r>
      <w:r w:rsidR="00EA7D4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több, mint ötven százaléka halmozottan hátrányos helyzetű – egy ilyen, szinte homogénen óriási szegregációs nyomásnak kitett terület nagyon kevés esélyt ad az integrációra.</w:t>
      </w:r>
    </w:p>
    <w:p w14:paraId="664496B2" w14:textId="5A909E96" w:rsidR="00601E5F" w:rsidRPr="006679FF" w:rsidRDefault="00601E5F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7E11F7D8" w14:textId="0953BDA8" w:rsidR="00EA7D45" w:rsidRPr="006679FF" w:rsidRDefault="00836D0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6.1 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Javasoljuk ezért, hogy szakemberek</w:t>
      </w:r>
      <w:r w:rsidR="00A054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ill. a KSH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bevonásával alakítsunk ki egy</w:t>
      </w:r>
      <w:r w:rsidR="00F8025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legkisebb járások</w:t>
      </w:r>
      <w:r w:rsidR="004F1C2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nál nagyobb,</w:t>
      </w:r>
      <w:r w:rsidR="00C274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minimális </w:t>
      </w:r>
      <w:r w:rsidR="00F66A3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önkormányzati </w:t>
      </w:r>
      <w:r w:rsidR="00365E9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iskolaközpont-méretet és egy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olyan</w:t>
      </w:r>
      <w:r w:rsidR="00AB38F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az OH vagy utódja által rendszeresen kiszámított szelekciós/szegregációs indexet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ami</w:t>
      </w:r>
      <w:r w:rsidR="00AB38F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nek egy központilag meghatározott küszöbértéke 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alá egy iskolafenntartó</w:t>
      </w:r>
      <w:r w:rsidR="00B42A1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</w:t>
      </w:r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</w:t>
      </w:r>
      <w:r w:rsidR="00B42A1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pont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által működtetett </w:t>
      </w:r>
      <w:r w:rsidR="00AB38F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oktatási-nevelési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AB38F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intézményekbe beiskolázandó diákok</w:t>
      </w:r>
      <w:r w:rsidR="00EA7D4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A054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aránya sem kerülhet.</w:t>
      </w:r>
    </w:p>
    <w:p w14:paraId="640D53B5" w14:textId="6E513725" w:rsidR="00EA7D45" w:rsidRPr="006679FF" w:rsidRDefault="00EA7D45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CBD71F7" w14:textId="217D109A" w:rsidR="00EA7D45" w:rsidRPr="006679FF" w:rsidRDefault="00EA7D45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Javaslatunk az, hogy induláskor a</w:t>
      </w:r>
      <w:r w:rsidR="006E24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 új</w:t>
      </w:r>
      <w:r w:rsidR="009B730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önkormányzati</w:t>
      </w:r>
      <w:r w:rsidR="006E24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iskolafenntartó központokat nagyrészt a hatvan tankerület diktálta földrajzi keretek között 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tartsuk meg</w:t>
      </w:r>
      <w:r w:rsidR="006E24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oly módon, hogy</w:t>
      </w:r>
      <w:r w:rsidR="00F93BD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</w:p>
    <w:p w14:paraId="04335E2F" w14:textId="63E81C40" w:rsidR="00190C63" w:rsidRPr="006679FF" w:rsidRDefault="00836D0A" w:rsidP="00190C63">
      <w:pPr>
        <w:pStyle w:val="Listaszerbekezds"/>
        <w:numPr>
          <w:ilvl w:val="0"/>
          <w:numId w:val="5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6.2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</w:t>
      </w:r>
      <w:r w:rsidR="00190C6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z esetleges </w:t>
      </w:r>
      <w:r w:rsidR="004C263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későbbi </w:t>
      </w:r>
      <w:r w:rsidR="00190C6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átalakulás nem viheti a fenntartott intézményekben tanuló gyermekek számát egy szabott küszöbérték alá</w:t>
      </w:r>
      <w:r w:rsidRPr="00B60A7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</w:p>
    <w:p w14:paraId="604FD0BE" w14:textId="7A0324BE" w:rsidR="00A054FB" w:rsidRPr="006679FF" w:rsidRDefault="00836D0A" w:rsidP="006E2488">
      <w:pPr>
        <w:pStyle w:val="Listaszerbekezds"/>
        <w:numPr>
          <w:ilvl w:val="0"/>
          <w:numId w:val="5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6.3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A054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esetleges </w:t>
      </w:r>
      <w:r w:rsidR="004C263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későbbi </w:t>
      </w:r>
      <w:r w:rsidR="00A054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átalakulás nem viheti a fent meghatározott HHH-arányt a fenti küszöbérték f</w:t>
      </w:r>
      <w:r w:rsidR="00971B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ö</w:t>
      </w:r>
      <w:r w:rsidR="00A054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lé</w:t>
      </w:r>
      <w:r w:rsidRPr="001304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;</w:t>
      </w:r>
    </w:p>
    <w:p w14:paraId="23F8EA38" w14:textId="65A5892D" w:rsidR="006E2488" w:rsidRPr="006679FF" w:rsidRDefault="00836D0A" w:rsidP="006E2488">
      <w:pPr>
        <w:pStyle w:val="Listaszerbekezds"/>
        <w:numPr>
          <w:ilvl w:val="0"/>
          <w:numId w:val="5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6.4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6E24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Ahol a</w:t>
      </w:r>
      <w:r w:rsidR="009B730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mostani tankerület </w:t>
      </w:r>
      <w:r w:rsidR="004C263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teljesen </w:t>
      </w:r>
      <w:r w:rsidR="009B730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egybeesik egy települési önkormányzat közigazgatási területével, ott az illető önkormányzat kapja vissza a fenntartást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6E24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3597C9B5" w14:textId="1A8C82CE" w:rsidR="00A054FB" w:rsidRPr="006679FF" w:rsidRDefault="00836D0A" w:rsidP="006E2488">
      <w:pPr>
        <w:pStyle w:val="Listaszerbekezds"/>
        <w:numPr>
          <w:ilvl w:val="0"/>
          <w:numId w:val="5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6.5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A054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Különösen: a</w:t>
      </w:r>
      <w:r w:rsidR="006E24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mesterségesen szétválasztott budapesti tankerületeket egyesítve adjuk a Fővárosnak, hogy az – a</w:t>
      </w:r>
      <w:r w:rsidR="004C263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korábbi fenntartó</w:t>
      </w:r>
      <w:r w:rsidR="006E248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kerületekkel megegyezve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velük partnerségben</w:t>
      </w:r>
      <w:r w:rsidR="0009210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fenti két elvárás betartásával</w:t>
      </w: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– 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F521A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</w:t>
      </w:r>
      <w:r w:rsidR="00F76F0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udapesten</w:t>
      </w:r>
      <w:proofErr w:type="gramEnd"/>
      <w:r w:rsidR="00F76F0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601E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maga alakítsa ki a fenntartás kereteit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14:paraId="4A47B880" w14:textId="11D2E3E2" w:rsidR="00F76F01" w:rsidRPr="006679FF" w:rsidRDefault="00836D0A" w:rsidP="00CD5ADC">
      <w:pPr>
        <w:pStyle w:val="Listaszerbekezds"/>
        <w:numPr>
          <w:ilvl w:val="0"/>
          <w:numId w:val="5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6.6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A054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Mindenütt másutt</w:t>
      </w:r>
      <w:r w:rsidR="00AB38F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(egy rövid</w:t>
      </w:r>
      <w:r w:rsidR="008474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az új keretek kialakítását, és törvényességi és személyzeti változásokat </w:t>
      </w:r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proofErr w:type="spellStart"/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megörökölt</w:t>
      </w:r>
      <w:proofErr w:type="spellEnd"/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keretek között </w:t>
      </w:r>
      <w:r w:rsidR="008474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lehetővé tevő átmeneti időszak után)</w:t>
      </w:r>
      <w:r w:rsidR="00A054F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mostani tankerület</w:t>
      </w:r>
      <w:r w:rsidR="00190C6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területén működő önkormányzatokból alakuló társulás fenntartásába (ld. alább) adjuk az ottani, most a tankerület által fenntartott intézmények teljes körét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190C6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0609E527" w14:textId="03B9CCAE" w:rsidR="00CD5ADC" w:rsidRPr="006679FF" w:rsidRDefault="00836D0A" w:rsidP="00CD5ADC">
      <w:pPr>
        <w:pStyle w:val="Listaszerbekezds"/>
        <w:numPr>
          <w:ilvl w:val="0"/>
          <w:numId w:val="5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6.7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F76F0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Mindezt azonban </w:t>
      </w:r>
      <w:r w:rsidR="00190C6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azzal</w:t>
      </w:r>
      <w:r w:rsidR="00F76F0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tesszük</w:t>
      </w:r>
      <w:r w:rsidR="00190C6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gramStart"/>
      <w:r w:rsidR="00190C6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hogy,</w:t>
      </w:r>
      <w:proofErr w:type="gramEnd"/>
      <w:r w:rsidR="00190C6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első két kritérium figyelembevételével, </w:t>
      </w:r>
      <w:r w:rsidR="00C274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összes résztvevő önkormányzat vétójogával (és természetesen azzal, hogy intézmény nem maradhat fenntartó nélkül) a résztvevő önkormányzatok szabadon átalakíthatják ezeket a kereteke</w:t>
      </w:r>
      <w:r w:rsidR="00F76F0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t: pl. kettéválaszthatják az iskolafenntartó központot két vagy akár több központtá, vagy átkéredzkedhetnek egy szomszéd központhoz.</w:t>
      </w:r>
      <w:r w:rsidR="008474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Ahol tehát ez nem akadályozza a </w:t>
      </w:r>
      <w:proofErr w:type="spellStart"/>
      <w:r w:rsidR="008474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deszegregációt</w:t>
      </w:r>
      <w:proofErr w:type="spellEnd"/>
      <w:r w:rsidR="008474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ahol egyik önkormányzat sem látja akadályát, a mostani kereteknél kevesebb települést felölelő, akár nagyobb járás méretű központok is létrejöhetnek.</w:t>
      </w:r>
      <w:r w:rsidR="00190C6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667964FC" w14:textId="71BEE76F" w:rsidR="001018A8" w:rsidRPr="006679FF" w:rsidRDefault="005A126E" w:rsidP="00CD5ADC">
      <w:pPr>
        <w:pStyle w:val="Listaszerbekezds"/>
        <w:numPr>
          <w:ilvl w:val="0"/>
          <w:numId w:val="5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6.8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1018A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Ugyancsak az egyes önkormányzatokra bízzuk, </w:t>
      </w:r>
      <w:r w:rsidR="00D97F6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– részben vagy egészben szintén általuk működtetett – önkormányzati iskolafenntartó központnak adják át </w:t>
      </w:r>
      <w:r w:rsidR="005443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óvodák</w:t>
      </w:r>
      <w:r w:rsidR="00D97F6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fenntartás</w:t>
      </w:r>
      <w:r w:rsidR="005443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ának</w:t>
      </w:r>
      <w:r w:rsidR="00D97F6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feladatát</w:t>
      </w:r>
      <w:r w:rsidR="0016040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(ami mind </w:t>
      </w:r>
      <w:r w:rsidR="00836D0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igazgatás-</w:t>
      </w:r>
      <w:r w:rsidR="0016040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szervezési,</w:t>
      </w:r>
      <w:r w:rsidR="00836D0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mind hatékonys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ági</w:t>
      </w:r>
      <w:r w:rsidR="0016040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mind az oktatás szintjei közti átmenet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megszervezése </w:t>
      </w:r>
      <w:r w:rsidR="0016040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szempontjából jobb megoldás lehet)</w:t>
      </w:r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vagy maguk működtetik t</w:t>
      </w:r>
      <w:r w:rsidR="005443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</w:t>
      </w:r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vább őket</w:t>
      </w:r>
      <w:r w:rsidR="00D97F6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  <w:r w:rsidR="001018A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38635DDC" w14:textId="43C18D14" w:rsidR="009C321E" w:rsidRPr="006679FF" w:rsidRDefault="005A126E" w:rsidP="00F76F01">
      <w:pPr>
        <w:pStyle w:val="Listaszerbekezds"/>
        <w:numPr>
          <w:ilvl w:val="0"/>
          <w:numId w:val="5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6.9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CD5AD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Szakképzés esetén a földrajzi keret ennél nagyobb kell legyen: nagyjából a mostani </w:t>
      </w:r>
      <w:r w:rsidR="00F76F0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</w:t>
      </w:r>
      <w:r w:rsidR="00CD5AD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entrumok által lefedett területnek</w:t>
      </w:r>
      <w:r w:rsidR="009D692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(3-6 járás)</w:t>
      </w:r>
      <w:r w:rsidR="00CD5AD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illetve a fővárosnak célszerű megfelelnie.</w:t>
      </w:r>
      <w:r w:rsidR="00CD5ADC" w:rsidRPr="006679FF">
        <w:rPr>
          <w:rStyle w:val="Lbjegyzet-hivatkozs"/>
          <w:rFonts w:ascii="Arial" w:eastAsia="Times New Roman" w:hAnsi="Arial" w:cs="Arial"/>
          <w:color w:val="222222"/>
          <w:sz w:val="24"/>
          <w:szCs w:val="24"/>
          <w:lang w:eastAsia="hu-HU"/>
        </w:rPr>
        <w:footnoteReference w:id="3"/>
      </w:r>
      <w:r w:rsidR="009D692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az agrárágazatban azonban még ennél is nagyobb területen célszerű az iskolákat együtt kezelni</w:t>
      </w:r>
      <w:r w:rsidR="002B34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ld. a Szakképzéssel foglalkozó ELEGY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OSzB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anyagot</w:t>
      </w:r>
      <w:r w:rsidR="002B34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</w:t>
      </w:r>
      <w:r w:rsidR="009D692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14:paraId="11FCA2DA" w14:textId="04E4AD7B" w:rsidR="00F76F01" w:rsidRPr="006679FF" w:rsidRDefault="005A126E" w:rsidP="00F76F01">
      <w:pPr>
        <w:pStyle w:val="Listaszerbekezds"/>
        <w:numPr>
          <w:ilvl w:val="0"/>
          <w:numId w:val="5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6.10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Javasoljuk, hogy az önkormányzati </w:t>
      </w:r>
      <w:r w:rsidR="00FF5F8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</w:t>
      </w:r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skolafenntartó kö</w:t>
      </w:r>
      <w:r w:rsidR="00FF5F8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rzetek</w:t>
      </w:r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kialakítása </w:t>
      </w:r>
      <w:proofErr w:type="gramStart"/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során  a</w:t>
      </w:r>
      <w:proofErr w:type="gramEnd"/>
      <w:r w:rsidR="009C321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változást kezdeményezők kötelező jelleggel folytassanak konzultációkat egy, az oktatási tárca által kialakított szakértői bizottsággal. </w:t>
      </w:r>
    </w:p>
    <w:p w14:paraId="26BFC474" w14:textId="123B8F7E" w:rsidR="00CD5ADC" w:rsidRPr="006679FF" w:rsidRDefault="009D6924" w:rsidP="00B31130">
      <w:pPr>
        <w:pStyle w:val="Listaszerbekezds"/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</w:p>
    <w:p w14:paraId="3DC6DBEC" w14:textId="77777777" w:rsidR="00EA7D45" w:rsidRPr="006679FF" w:rsidRDefault="00EA7D45" w:rsidP="00B31130">
      <w:pPr>
        <w:pStyle w:val="Listaszerbekezds"/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694B289" w14:textId="608DBA5B" w:rsidR="00A341B5" w:rsidRPr="00B60A78" w:rsidRDefault="00C274C1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</w:t>
      </w:r>
      <w:r w:rsidR="00A341B5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z önkormányzatok szerepe a fenntartásban</w:t>
      </w:r>
    </w:p>
    <w:p w14:paraId="07414B60" w14:textId="77777777" w:rsidR="00C274C1" w:rsidRPr="006679FF" w:rsidRDefault="00C274C1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2059DF8" w14:textId="454763F8" w:rsidR="00CF3CF5" w:rsidRPr="006679FF" w:rsidRDefault="00C274C1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365E9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z iskolafenntartó központ irányítását (a felelős vezető kinevezésének és leváltásának jogát, a fenntartó központ működtetéséért való </w:t>
      </w:r>
      <w:proofErr w:type="spellStart"/>
      <w:r w:rsidR="00365E9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reziduális</w:t>
      </w:r>
      <w:proofErr w:type="spellEnd"/>
      <w:r w:rsidR="00365E9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felelősség</w:t>
      </w:r>
      <w:r w:rsidR="006903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et</w:t>
      </w:r>
      <w:r w:rsidR="00365E9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a kritikus fenntartói döntések egy meghatározó, szűk körének elfogadását) olyan jogi személyként működő, kötelező önkormányzati társulás</w:t>
      </w:r>
      <w:r w:rsidR="00E6344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ok</w:t>
      </w:r>
      <w:r w:rsidR="00365E9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kezébe adjuk, mely</w:t>
      </w:r>
      <w:r w:rsidR="00CF3CF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ek </w:t>
      </w:r>
    </w:p>
    <w:p w14:paraId="3E6BD54E" w14:textId="1645B4E2" w:rsidR="00C274C1" w:rsidRPr="006679FF" w:rsidRDefault="005A126E" w:rsidP="00CF3CF5">
      <w:pPr>
        <w:pStyle w:val="Listaszerbekezds"/>
        <w:numPr>
          <w:ilvl w:val="0"/>
          <w:numId w:val="6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7.1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="00CF3CF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földrajzilag</w:t>
      </w:r>
      <w:proofErr w:type="spellEnd"/>
      <w:r w:rsidR="00CF3CF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(kiindulásképp</w:t>
      </w:r>
      <w:r w:rsidR="006903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ld. fenn</w:t>
      </w:r>
      <w:r w:rsidR="00CF3CF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 a mostani tankerületek</w:t>
      </w:r>
      <w:r w:rsidR="0035655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területével</w:t>
      </w:r>
      <w:r w:rsidR="00CF3CF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egyeznek meg</w:t>
      </w:r>
      <w:r w:rsidR="0035655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</w:p>
    <w:p w14:paraId="102948AD" w14:textId="0B38F834" w:rsidR="006903B7" w:rsidRPr="006679FF" w:rsidRDefault="005A126E" w:rsidP="00CF3CF5">
      <w:pPr>
        <w:pStyle w:val="Listaszerbekezds"/>
        <w:numPr>
          <w:ilvl w:val="0"/>
          <w:numId w:val="6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7.2</w:t>
      </w:r>
      <w:r w:rsidR="00324A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CF3CF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melyben az érintett önkormányzatok delegáltjai</w:t>
      </w:r>
      <w:r>
        <w:rPr>
          <w:rStyle w:val="Lbjegyzet-hivatkozs"/>
          <w:rFonts w:ascii="Arial" w:eastAsia="Times New Roman" w:hAnsi="Arial" w:cs="Arial"/>
          <w:color w:val="222222"/>
          <w:sz w:val="24"/>
          <w:szCs w:val="24"/>
          <w:lang w:eastAsia="hu-HU"/>
        </w:rPr>
        <w:footnoteReference w:id="4"/>
      </w:r>
      <w:r w:rsidR="00CF3CF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KSH által nyilvántartott, gyermekszám-adatokhoz rendszeresen, automatikusan hozzáigazított szavazati aránnya</w:t>
      </w:r>
      <w:r w:rsidR="006903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 bírnak</w:t>
      </w:r>
      <w:r w:rsidR="0035655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</w:p>
    <w:p w14:paraId="0F2E9011" w14:textId="734E0690" w:rsidR="008A1E68" w:rsidRPr="006679FF" w:rsidRDefault="00324AAA" w:rsidP="008A1E68">
      <w:pPr>
        <w:pStyle w:val="Listaszerbekezds"/>
        <w:numPr>
          <w:ilvl w:val="0"/>
          <w:numId w:val="6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7.3. </w:t>
      </w:r>
      <w:r w:rsidR="006903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melyben az őket különösen érintő, még meghatározandó döntésekkel kapcsolatban (pl. a </w:t>
      </w:r>
      <w:r w:rsidR="0009210A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fenntartó központok osztódása/kiszakadása; </w:t>
      </w:r>
      <w:r w:rsidR="006903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közig. területükön intézménybezárás/nyitás</w:t>
      </w:r>
      <w:r w:rsidR="0035655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területükön feladatot ellátó intézmény vezetőjének kinevezése</w:t>
      </w:r>
      <w:r w:rsidR="006903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) az </w:t>
      </w:r>
      <w:r w:rsidR="00CE482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érintett</w:t>
      </w:r>
      <w:r w:rsidR="00CE482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6903B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önkormányzati delegáltak vétójoggal bírnak.</w:t>
      </w:r>
      <w:r w:rsidR="00CF3CF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 </w:t>
      </w:r>
    </w:p>
    <w:p w14:paraId="1CDAC09B" w14:textId="5759A6FB" w:rsidR="00F81100" w:rsidRPr="006679FF" w:rsidRDefault="00324AA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7.4 </w:t>
      </w:r>
      <w:r w:rsidR="008A1E6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Megfontolandó, hogy </w:t>
      </w:r>
      <w:r w:rsidR="00AA458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(ha ez önkormányzatok döntő szerepét nem csökkenti lényegesen) a fenntartó testületben konzultatív szerepben vagy akár bizonyos döntésekkel kapcsolatban vétójoggal más fontos érintettek (pl. a központi </w:t>
      </w:r>
      <w:r w:rsidR="00AA458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oktatáspolitika vagy a konzultatív testületben (ld. alább) szerepet kapó érintetti csoportok</w:t>
      </w:r>
      <w:r w:rsidR="002B34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</w:t>
      </w:r>
      <w:r w:rsidR="00AA458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helyet kapjanak.  </w:t>
      </w:r>
    </w:p>
    <w:p w14:paraId="0599EA82" w14:textId="77777777" w:rsidR="008A1E68" w:rsidRPr="006679FF" w:rsidRDefault="008A1E68" w:rsidP="00F81100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301D38D" w14:textId="032CDA87" w:rsidR="00F81100" w:rsidRPr="00B60A78" w:rsidRDefault="00F81100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 szakképzést folytató iskolák fenntartása</w:t>
      </w:r>
    </w:p>
    <w:p w14:paraId="7567B2FF" w14:textId="1BD39054" w:rsidR="00F81100" w:rsidRPr="006679FF" w:rsidRDefault="00F81100" w:rsidP="00F81100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</w:p>
    <w:p w14:paraId="4890C55D" w14:textId="135EBB66" w:rsidR="00356550" w:rsidRPr="006679FF" w:rsidRDefault="00324AAA" w:rsidP="00B31130">
      <w:pPr>
        <w:pStyle w:val="Listaszerbekezds"/>
        <w:numPr>
          <w:ilvl w:val="0"/>
          <w:numId w:val="6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8.1. </w:t>
      </w:r>
      <w:r w:rsidR="00F8110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jelenleg a szakképzési centrumokhoz tartozó iskolákat nem szükséges leválasztani a Centrumokról: az iskoláknak adandó nagyfokú önállóság mellett a Centrumok koordinációs és támogató szerepben meg kell maradjanak. A Centrumok fenntartására több megoldás lehetséges (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ld. a Szakképzéssel foglalkozó ELEGY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OSzB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anyagot</w:t>
      </w:r>
      <w:r w:rsidR="00F8110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).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Bármelyik megoldás 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esetén szükség van megfelelő jogosítványokkal felvértezett Tanácsadó testület létrehozására,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amelybe be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kell vonni a területen működő önkormányzati iskolafenntartók képviselőit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14:paraId="45B81017" w14:textId="0BE2C900" w:rsidR="00F81100" w:rsidRPr="006679FF" w:rsidRDefault="00324AAA" w:rsidP="00B31130">
      <w:pPr>
        <w:pStyle w:val="Listaszerbekezds"/>
        <w:numPr>
          <w:ilvl w:val="0"/>
          <w:numId w:val="6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8.2. </w:t>
      </w:r>
      <w:r w:rsidR="00F8110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szakképzést folytató iskolák közül jelenleg a tankerületekhez tartoznak az SNI-</w:t>
      </w:r>
      <w:proofErr w:type="spellStart"/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sek</w:t>
      </w:r>
      <w:proofErr w:type="spellEnd"/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szakiskolái, a pedagógiai, művészeti, közművelődési ágazatok szakgimnáziumai és a többcélú 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– gimnáziumi </w:t>
      </w:r>
      <w:r w:rsidR="004C262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képzést is folytató – 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iskolák egy része. Ezek </w:t>
      </w:r>
      <w:r w:rsidR="00F54C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fenntartását, ha az iskola maga kívánja és az önkormányzati iskolafenntartó központ nem ellenzi, átvehetik a</w:t>
      </w:r>
      <w:r w:rsidR="00F8110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A1065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</w:t>
      </w:r>
      <w:r w:rsidR="00F8110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entrumok</w:t>
      </w:r>
      <w:r w:rsidR="0035655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maradók fenntartója a közoktatási iskolafenntart</w:t>
      </w:r>
      <w:r w:rsidR="00F54C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ó központ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lesz, azonban fenntartói szinten biztosítani kell számukra a </w:t>
      </w:r>
      <w:r w:rsidR="00A1065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entrumok szolgáltatásaihoz való hozzáférést.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Hasonlóan gondoskodni kell a </w:t>
      </w:r>
      <w:r w:rsidR="00A1065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entrumokhoz tartozó iskolák nem szakképzési feladatainak a segítéséről, a többcélú centrumos iskolák tervezésnél való figyelembevételéről is. </w:t>
      </w:r>
    </w:p>
    <w:p w14:paraId="28D6A13E" w14:textId="77777777" w:rsidR="009E36AC" w:rsidRPr="006679FF" w:rsidRDefault="009E36AC" w:rsidP="00F81100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9EF96CA" w14:textId="0CD1A25C" w:rsidR="00C274C1" w:rsidRPr="006679FF" w:rsidRDefault="00C274C1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14E56D2" w14:textId="12BAC24F" w:rsidR="00ED5F7D" w:rsidRPr="00B60A78" w:rsidRDefault="00ED5F7D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 közoktatáshoz kapcsolódó</w:t>
      </w:r>
      <w:r w:rsidR="009C46B9"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 egyéb</w:t>
      </w: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 intézmények fenntartása</w:t>
      </w:r>
    </w:p>
    <w:p w14:paraId="36E44005" w14:textId="43FB2A98" w:rsidR="00C274C1" w:rsidRPr="006679FF" w:rsidRDefault="00C274C1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59DD499" w14:textId="620F4BC5" w:rsidR="00ED5F7D" w:rsidRPr="006679FF" w:rsidRDefault="00324AA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9.1 </w:t>
      </w:r>
      <w:r w:rsidR="00ED5F7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Ezen intézmények: középiskolai kollégiumok, gyógypedagógiai ellátás, szakmai szolgáltatás, szakszolgálatok</w:t>
      </w:r>
      <w:r w:rsidR="0074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ED5F7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fenntartásával kapcsolatban az</w:t>
      </w:r>
      <w:r w:rsidR="005A333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 javasoljuk, azok, melyek ellátási területe egyértelműen az önkormányzati iskolafenntartó központokhoz v. városokhoz rendelhető (pl. Budapest), a fenti elvek szerint kidolgozott normatív finanszírozásukkal együtt kerüljön hozzájuk</w:t>
      </w:r>
      <w:r w:rsidR="00D13AE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A1065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Amelyeké egyértelműen nagyobb terület intézményeit látja el, azok több iskolafenntartó központ által ellátott, közös, megyei vagy központi állami fenntartásának alternatíváit át kell tekinteni. Mindenképp</w:t>
      </w:r>
      <w:r w:rsidR="00EE3633" w:rsidRPr="000518D6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  <w:lang w:eastAsia="hu-HU"/>
        </w:rPr>
        <w:t xml:space="preserve"> </w:t>
      </w:r>
      <w:r w:rsidR="00A1065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iztosítani kell, hogy az intézmények ellássák a szak- és felnőttképzésben tanulókat és dolgozókat is, és rendelkezzenek ezeken a területeken kompetens tudással rendelkező szakemberekkel</w:t>
      </w:r>
      <w:r w:rsidR="0054433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5A333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6F8911C0" w14:textId="787AEBC2" w:rsidR="00ED5F7D" w:rsidRPr="006679FF" w:rsidRDefault="00ED5F7D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EB358CE" w14:textId="77777777" w:rsidR="00ED5F7D" w:rsidRPr="006679FF" w:rsidRDefault="00ED5F7D" w:rsidP="00913452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EE948E7" w14:textId="016C38E2" w:rsidR="00952FE8" w:rsidRPr="00B60A78" w:rsidRDefault="00952FE8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Finanszírozás</w:t>
      </w:r>
    </w:p>
    <w:p w14:paraId="21427093" w14:textId="68B1A1E9" w:rsidR="00C274C1" w:rsidRPr="006679FF" w:rsidRDefault="00C274C1" w:rsidP="00A341B5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7392949" w14:textId="3447FFE9" w:rsidR="006340CB" w:rsidRPr="006679FF" w:rsidRDefault="00324AA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10.1 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közoktatás feladatait átlátható,</w:t>
      </w:r>
      <w:r w:rsidR="00B87EE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stabil,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normatív (formula alapján kalkulált) és a fenntartók és intézmények gazdálkodási autonómiáját elismerő rendszerben kell a központi költségvetésből finanszírozni. A formulának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azon túl, hogy a közösségi pénzügyek által diktált szempontoknak meg kell felelnie, elsősorban a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társadalmi igény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(gyermekszám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feladatok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at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(pl. integráció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szocio</w:t>
      </w:r>
      <w:proofErr w:type="spellEnd"/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-ökonómiai kihívások nagysága</w:t>
      </w:r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– pl. HHH-s, SNI-s, stb. gyermekek száma</w:t>
      </w:r>
      <w:r w:rsidR="00845CCB" w:rsidRPr="006679FF">
        <w:rPr>
          <w:rStyle w:val="Lbjegyzet-hivatkozs"/>
          <w:rFonts w:ascii="Arial" w:eastAsia="Times New Roman" w:hAnsi="Arial" w:cs="Arial"/>
          <w:color w:val="222222"/>
          <w:sz w:val="24"/>
          <w:szCs w:val="24"/>
          <w:lang w:eastAsia="hu-HU"/>
        </w:rPr>
        <w:footnoteReference w:id="5"/>
      </w:r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és/vagy a térség </w:t>
      </w:r>
      <w:proofErr w:type="spellStart"/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szocio</w:t>
      </w:r>
      <w:proofErr w:type="spellEnd"/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-ökonómiai mutatói</w:t>
      </w:r>
      <w:r w:rsidR="00B71A5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szakképzés esetén a szakmák</w:t>
      </w:r>
      <w:r w:rsidR="008878A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kell tükröznie</w:t>
      </w:r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úgy, hogy abból a </w:t>
      </w:r>
      <w:proofErr w:type="spellStart"/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spellEnd"/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pedagógusok és a nevelő-oktató munkát közvetlenül segítő munkatársak méltó fizetést kaphassanak (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ld. a </w:t>
      </w: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Pedagógusok Helyzete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c. ELEGY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OSzB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anyagot</w:t>
      </w:r>
      <w:r w:rsidR="00F735E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14:paraId="7A389AC8" w14:textId="6896DEF1" w:rsidR="006340CB" w:rsidRPr="006679FF" w:rsidRDefault="006340CB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7B586C2" w14:textId="02E11948" w:rsidR="00712F38" w:rsidRPr="006679FF" w:rsidRDefault="00324AA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10.2 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normatív 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finanszírozás címzettjei az önkormányzati iskolafenntartó központok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illetve a </w:t>
      </w:r>
      <w:r w:rsidR="00D13AE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</w:t>
      </w:r>
      <w:r w:rsidR="009E36A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entrumok fenntartói</w:t>
      </w:r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(azt tehát a fenntartó önkormányzatok nem vonhatják el más célokra).</w:t>
      </w:r>
    </w:p>
    <w:p w14:paraId="38E5CCB0" w14:textId="77777777" w:rsidR="00A10654" w:rsidRPr="006679FF" w:rsidRDefault="00A10654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EF3C027" w14:textId="49316EE7" w:rsidR="006340CB" w:rsidRPr="006679FF" w:rsidRDefault="00324AA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10.3 </w:t>
      </w:r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Megfontolandó, hogy </w:t>
      </w:r>
      <w:r w:rsidR="006340C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– az intézményi gazdasági autonómia és </w:t>
      </w:r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tervezhetőség szolgálatában – azt is formula határozza meg, mi az 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központilag szabott paraméterektől és eljárási szabályoktól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függő </w:t>
      </w:r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éves</w:t>
      </w:r>
      <w:proofErr w:type="gramEnd"/>
      <w:r w:rsidR="00712F3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minimum összeg, amit a fenntartó az egyes fenntartott közoktatási intézmények rendelkezésére kell bocsásson.</w:t>
      </w:r>
    </w:p>
    <w:p w14:paraId="7CE9A7DD" w14:textId="64E3EE48" w:rsidR="008878AE" w:rsidRPr="006679FF" w:rsidRDefault="006340CB" w:rsidP="00A341B5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7D5631B6" w14:textId="1B9444B1" w:rsidR="008878AE" w:rsidRPr="00B60A78" w:rsidRDefault="005A333D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Egyházi és alapítványi közoktatási intézmények fenntartása</w:t>
      </w:r>
    </w:p>
    <w:p w14:paraId="450F7945" w14:textId="7DAC2933" w:rsidR="008878AE" w:rsidRPr="006679FF" w:rsidRDefault="008878AE" w:rsidP="00A341B5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0B58143" w14:textId="3A9F1294" w:rsidR="008878AE" w:rsidRPr="006679FF" w:rsidRDefault="00324AAA" w:rsidP="00530F8F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11.1 </w:t>
      </w:r>
      <w:r w:rsidR="00F66A36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Amennyire ezt az államközi szerződések (Vatikáni megállapodás), alkotmányos jogok és törvényhelyek (különösen a lelkiismereti és vallásszabadságra vonatkozó passzusok) engedik, </w:t>
      </w:r>
      <w:r w:rsidR="004A199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egyházi és alapítványi fenntartású intézményekkel kapcsolatos végrehajtó jellegű állami feladatokat (különösen a </w:t>
      </w:r>
      <w:proofErr w:type="spellStart"/>
      <w:r w:rsidR="00F521A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spellEnd"/>
      <w:r w:rsidR="00F521A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térségi iskoláztatási feladatok szempontjából meghatározó jelentőségű kérdésekkel: a szegregációs folyamatok visszaszorításához szükséges, a beiskolázási körzetekke</w:t>
      </w:r>
      <w:r w:rsidR="00A1065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</w:t>
      </w:r>
      <w:r w:rsidR="00F521A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integrált oktatással</w:t>
      </w:r>
      <w:r w:rsidR="004A199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finanszírozással kapcsolatosakat), a</w:t>
      </w:r>
      <w:r w:rsidR="00C24B2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 egyházi</w:t>
      </w:r>
      <w:r w:rsidR="004A199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fenntartóval partnerségben</w:t>
      </w:r>
      <w:r w:rsidR="00111D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kell megoldani a továbbiakban</w:t>
      </w:r>
      <w:r w:rsidR="0075029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idevágó törvényes keretek betartásával</w:t>
      </w:r>
      <w:r w:rsidR="00111D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részletesebbe</w:t>
      </w:r>
      <w:r w:rsidR="0075029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</w:t>
      </w:r>
      <w:r w:rsidR="00111D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kidolgozandó </w:t>
      </w:r>
      <w:proofErr w:type="spellStart"/>
      <w:r w:rsidR="00111D5F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együttdöntési</w:t>
      </w:r>
      <w:proofErr w:type="spellEnd"/>
      <w:r w:rsidR="00231E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folyamatok keretében. Ezek intézményes kereteit és a folyamat során követett eljárást</w:t>
      </w:r>
      <w:r w:rsidR="0075029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beleértve a vitarendezés grémiumait is,</w:t>
      </w:r>
      <w:r w:rsidR="00231E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külön jogszabályban kell rögzíteni. </w:t>
      </w:r>
      <w:r w:rsidR="00AA07D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</w:t>
      </w:r>
      <w:r w:rsidR="00231E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folyamatok szabályozásakor egy</w:t>
      </w:r>
      <w:r w:rsidR="00646F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részt</w:t>
      </w:r>
      <w:r w:rsidR="00231E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tekintettel kell lenni az érintett egyházi, alapítványi, illetve magán oktatási-nevelési intézmények státuszára</w:t>
      </w:r>
      <w:r w:rsidR="00646F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(autonómiájára)</w:t>
      </w:r>
      <w:r w:rsidR="00231E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más</w:t>
      </w:r>
      <w:r w:rsidR="00646F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részt</w:t>
      </w:r>
      <w:r w:rsidR="00231E5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E81F7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lelkiismereti és vallásszabadságra von</w:t>
      </w:r>
      <w:r w:rsidR="00AA07DC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E81F7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tkozó alkotmányos alapelvekre, </w:t>
      </w:r>
      <w:r w:rsidR="00646FC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harmadrészt</w:t>
      </w:r>
      <w:r w:rsidR="00E81F7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13763B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pedig </w:t>
      </w:r>
      <w:r w:rsidR="00E81F7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egyenlő bánásmód elvére</w:t>
      </w:r>
      <w:r w:rsidR="0075029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ahogy arra is, hogy az egyházi intézmények finanszírozásának is a költségvetés a forrása</w:t>
      </w:r>
      <w:r w:rsidR="00E81F77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</w:p>
    <w:p w14:paraId="285C78A6" w14:textId="77777777" w:rsidR="00530F8F" w:rsidRPr="006679FF" w:rsidRDefault="00530F8F" w:rsidP="00530F8F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1A82C5F" w14:textId="61220425" w:rsidR="00D13AE0" w:rsidRPr="006679FF" w:rsidRDefault="00324AA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11.2 </w:t>
      </w:r>
      <w:r w:rsidR="00D13AE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Állami/önkormányzati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intézmény a továbbiakban </w:t>
      </w:r>
      <w:r w:rsidR="00F521A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csak kivételes esetben</w:t>
      </w:r>
      <w:r w:rsidR="00D13AE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legyen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D13AE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át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adható egyháznak vagy </w:t>
      </w:r>
      <w:proofErr w:type="spellStart"/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ideológiailag</w:t>
      </w:r>
      <w:proofErr w:type="spellEnd"/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elkötelezett szervezetnek</w:t>
      </w:r>
      <w:r w:rsidR="00D13AE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viszont továbbra is lehetővé kell tenni most egyházi fenntartásban levő (különösen: szakképző) intézmények visszavételét közös megegyezéssel önkormányzati iskolafenntartó központi v szakképz</w:t>
      </w:r>
      <w:r w:rsidR="00BC5BA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ési</w:t>
      </w:r>
      <w:r w:rsidR="00D13AE0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centrumi fenntartásba. </w:t>
      </w:r>
    </w:p>
    <w:p w14:paraId="2884D901" w14:textId="77777777" w:rsidR="00530F8F" w:rsidRPr="006679FF" w:rsidRDefault="00530F8F" w:rsidP="00530F8F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D300F8A" w14:textId="76042807" w:rsidR="00EE3633" w:rsidRPr="006679FF" w:rsidRDefault="00324AA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11.3 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Nem </w:t>
      </w:r>
      <w:r w:rsidR="00A1065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elfogadható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hogy a </w:t>
      </w:r>
      <w:r w:rsidR="00F521A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szakképzésben a </w:t>
      </w:r>
      <w:r w:rsidR="00EE363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humán ágazatokban az egyházi intézményeknek kizárólagos szerepe legyen.</w:t>
      </w:r>
    </w:p>
    <w:p w14:paraId="58AD4FB0" w14:textId="77777777" w:rsidR="00530F8F" w:rsidRPr="006679FF" w:rsidRDefault="00530F8F" w:rsidP="00530F8F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2AF1C11" w14:textId="5F254CFA" w:rsidR="00BC5BA3" w:rsidRPr="006679FF" w:rsidRDefault="00324AAA" w:rsidP="000518D6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11.4 </w:t>
      </w:r>
      <w:r w:rsidR="00BC5BA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Azokon a településeken, ahol csak egy egyházi fenntartású óvoda vagy iskola működik, illetve a szakképző intézményekben a fenntartónak gondoskodnia kell arról, hogy amennyiben egy vagy több szülő ezt igényli, gyermekük világnézetileg semleges oktatásban/nevelésben </w:t>
      </w:r>
      <w:proofErr w:type="spellStart"/>
      <w:r w:rsidR="00BC5BA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részesülhessen</w:t>
      </w:r>
      <w:proofErr w:type="spellEnd"/>
      <w:r w:rsidR="00BC5BA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adott intézményekben. </w:t>
      </w:r>
    </w:p>
    <w:p w14:paraId="1290D8E7" w14:textId="39CB2482" w:rsidR="00EE3633" w:rsidRPr="006679FF" w:rsidRDefault="00EE3633" w:rsidP="00A341B5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5DEBEC5" w14:textId="4485EAF1" w:rsidR="00BC5BA3" w:rsidRPr="00B60A78" w:rsidRDefault="00BC5BA3" w:rsidP="00B60A78">
      <w:pPr>
        <w:pStyle w:val="Listaszerbekezds"/>
        <w:numPr>
          <w:ilvl w:val="0"/>
          <w:numId w:val="9"/>
        </w:num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B60A7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 fenntartó szervezetek (önkormányzati iskolafenntartó központok, ill. szakképzési centrumok) mellett működő körzeti konzultatív tanácsok</w:t>
      </w:r>
    </w:p>
    <w:p w14:paraId="41446B50" w14:textId="77777777" w:rsidR="00BC5BA3" w:rsidRPr="006679FF" w:rsidRDefault="00BC5BA3" w:rsidP="00A341B5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5D9FA06" w14:textId="3EB42519" w:rsidR="004A10A8" w:rsidRPr="006679FF" w:rsidRDefault="00E9578A" w:rsidP="008219C5">
      <w:pPr>
        <w:shd w:val="clear" w:color="auto" w:fill="FFFFFF"/>
        <w:tabs>
          <w:tab w:val="left" w:pos="5844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Minden</w:t>
      </w:r>
      <w:r w:rsidR="006F3F4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iskolafenntartó szervezet mellett delegálás alapján létrejövő</w:t>
      </w:r>
      <w:r w:rsidR="001D642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nyilvánosan működő</w:t>
      </w:r>
      <w:r w:rsidR="006F3F4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BC5BA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konzultatív </w:t>
      </w:r>
      <w:r w:rsidR="006F3F41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tanácsokat</w:t>
      </w:r>
      <w:r w:rsidR="0072664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kell létrehozni. </w:t>
      </w:r>
      <w:r w:rsidR="002407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Ezekben</w:t>
      </w:r>
      <w:r w:rsidR="00FF2D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önkormányzatok képviselőin túl</w:t>
      </w:r>
      <w:r w:rsidR="002407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FF2D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fenntartott </w:t>
      </w:r>
      <w:r w:rsidR="00240784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nevelési, oktatási intézmények, kollégiumok </w:t>
      </w:r>
      <w:r w:rsidR="0053321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dolgozói, a </w:t>
      </w:r>
      <w:r w:rsidR="0053321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nevelési</w:t>
      </w:r>
      <w:r w:rsidR="005611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</w:t>
      </w:r>
      <w:r w:rsidR="0053321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oktatási szolgáltatásokat igénybe vevő </w:t>
      </w:r>
      <w:r w:rsidR="005611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szülők, illetve a tanulók,</w:t>
      </w:r>
      <w:r w:rsidR="00D6101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pedagógiai szakmai és szakszolgálatok képviselői, </w:t>
      </w:r>
      <w:r w:rsidR="0056114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egyházi és alapítványi iskolák képviselői</w:t>
      </w:r>
      <w:r w:rsidR="00ED111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az oktatással kapcsolatos célokkal működő, ezt igénylő civil szervezetek,</w:t>
      </w:r>
      <w:r w:rsidR="00FF2D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="00FF2D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ill</w:t>
      </w:r>
      <w:r w:rsidR="00ED111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etve, </w:t>
      </w:r>
      <w:r w:rsidR="00FF2D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szakképzési</w:t>
      </w:r>
      <w:proofErr w:type="gramEnd"/>
      <w:r w:rsidR="00FF2D3E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centrumok esetén a munkaadók képviseltetik magukat</w:t>
      </w:r>
      <w:r w:rsidR="00D6101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A konzultatív testület egyik kiemelt feladata </w:t>
      </w:r>
      <w:r w:rsidR="001D642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iskolafenntartó szervezet által </w:t>
      </w:r>
      <w:r w:rsidR="00D6101D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körzetben folyó nevelési/oktatási folyamatokról</w:t>
      </w:r>
      <w:r w:rsidR="00D87D9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szóló, illetve </w:t>
      </w:r>
      <w:r w:rsidR="001D642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fejlesztési feladatok</w:t>
      </w:r>
      <w:r w:rsidR="00D87D9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at megfogalmazó, </w:t>
      </w:r>
      <w:r w:rsidR="001D642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rendszeresen elkészítendő elemzések, fejlesztési tervek véleményezése,</w:t>
      </w:r>
      <w:r w:rsidR="00D87D9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il</w:t>
      </w:r>
      <w:r w:rsidR="008219C5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</w:t>
      </w:r>
      <w:r w:rsidR="00D87D93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etve</w:t>
      </w:r>
      <w:r w:rsidR="001D6428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ezekkel kapcsolatos javaslatok megfogalmazása. </w:t>
      </w:r>
      <w:r w:rsidR="00533212" w:rsidRPr="006679F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 </w:t>
      </w:r>
    </w:p>
    <w:p w14:paraId="285A620A" w14:textId="2E6FE1F1" w:rsidR="00A6339B" w:rsidRDefault="00A6339B" w:rsidP="00A341B5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53B98E5" w14:textId="77777777" w:rsidR="00A6339B" w:rsidRDefault="00A6339B" w:rsidP="00A341B5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55E930C" w14:textId="00882BAB" w:rsidR="00D57909" w:rsidRDefault="00D57909" w:rsidP="00A341B5">
      <w:pPr>
        <w:shd w:val="clear" w:color="auto" w:fill="FFFFFF"/>
        <w:tabs>
          <w:tab w:val="left" w:pos="584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sectPr w:rsidR="00D579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9F28" w14:textId="77777777" w:rsidR="00673AB7" w:rsidRDefault="00673AB7" w:rsidP="00CD5ADC">
      <w:pPr>
        <w:spacing w:after="0" w:line="240" w:lineRule="auto"/>
      </w:pPr>
      <w:r>
        <w:separator/>
      </w:r>
    </w:p>
  </w:endnote>
  <w:endnote w:type="continuationSeparator" w:id="0">
    <w:p w14:paraId="3862FFCA" w14:textId="77777777" w:rsidR="00673AB7" w:rsidRDefault="00673AB7" w:rsidP="00CD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4810" w14:textId="77777777" w:rsidR="00673AB7" w:rsidRDefault="00673AB7" w:rsidP="00CD5ADC">
      <w:pPr>
        <w:spacing w:after="0" w:line="240" w:lineRule="auto"/>
      </w:pPr>
      <w:r>
        <w:separator/>
      </w:r>
    </w:p>
  </w:footnote>
  <w:footnote w:type="continuationSeparator" w:id="0">
    <w:p w14:paraId="36C815C3" w14:textId="77777777" w:rsidR="00673AB7" w:rsidRDefault="00673AB7" w:rsidP="00CD5ADC">
      <w:pPr>
        <w:spacing w:after="0" w:line="240" w:lineRule="auto"/>
      </w:pPr>
      <w:r>
        <w:continuationSeparator/>
      </w:r>
    </w:p>
  </w:footnote>
  <w:footnote w:id="1">
    <w:p w14:paraId="26E8D231" w14:textId="51A51319" w:rsidR="00BB7DD0" w:rsidRDefault="00BB7DD0">
      <w:pPr>
        <w:pStyle w:val="Lbjegyzetszveg"/>
      </w:pPr>
      <w:r>
        <w:rPr>
          <w:rStyle w:val="Lbjegyzet-hivatkozs"/>
        </w:rPr>
        <w:footnoteRef/>
      </w:r>
      <w:r>
        <w:t xml:space="preserve"> Amennyiben ez nem ütközik akadályba, a szakképzés esetén a duális partnerintézményét is.</w:t>
      </w:r>
    </w:p>
  </w:footnote>
  <w:footnote w:id="2">
    <w:p w14:paraId="76A110B9" w14:textId="76615472" w:rsidR="00D97F61" w:rsidRDefault="00D97F61">
      <w:pPr>
        <w:pStyle w:val="Lbjegyzetszveg"/>
      </w:pPr>
      <w:r>
        <w:rPr>
          <w:rStyle w:val="Lbjegyzet-hivatkozs"/>
        </w:rPr>
        <w:footnoteRef/>
      </w:r>
      <w:r>
        <w:t xml:space="preserve"> Rendeletben meghatározandó, kirívó esetben, amennyiben az a jogbiztonságot nem sérti, a korábbi kinevezési szabályok</w:t>
      </w:r>
      <w:r w:rsidR="00CE7EC3">
        <w:t xml:space="preserve">nak eleget nem </w:t>
      </w:r>
      <w:r w:rsidR="00CE7EC3">
        <w:t>tevően kinevezett</w:t>
      </w:r>
      <w:r>
        <w:t>, a tantestület által egységesen elutasított intézményvezetőket</w:t>
      </w:r>
      <w:r w:rsidR="00CE7EC3">
        <w:t xml:space="preserve"> akár az öt év lejárta előtt is hívhassa vissza. </w:t>
      </w:r>
      <w:r>
        <w:t xml:space="preserve">  </w:t>
      </w:r>
    </w:p>
  </w:footnote>
  <w:footnote w:id="3">
    <w:p w14:paraId="516C98C8" w14:textId="031553E6" w:rsidR="00CD5ADC" w:rsidRDefault="00CD5ADC">
      <w:pPr>
        <w:pStyle w:val="Lbjegyzetszveg"/>
      </w:pPr>
      <w:r>
        <w:rPr>
          <w:rStyle w:val="Lbjegyzet-hivatkozs"/>
        </w:rPr>
        <w:footnoteRef/>
      </w:r>
      <w:r>
        <w:t xml:space="preserve"> A centrumok kialakításánál nagyjából azt az elvet követték, hogy minden iskola </w:t>
      </w:r>
      <w:r>
        <w:t>max. 1 óra egyirányú utazással elérhető legyen</w:t>
      </w:r>
      <w:r w:rsidR="009C46B9">
        <w:t>, és a teljes tanulólétszám 5-10 ezres legyen</w:t>
      </w:r>
      <w:r>
        <w:t>. Ettől eltér az agrár ágazat, ahol összesen 5 centrum jött létre országosan, illetve a főváros, ahol ágazati alapon szerveződtek a centrumok.</w:t>
      </w:r>
    </w:p>
  </w:footnote>
  <w:footnote w:id="4">
    <w:p w14:paraId="79E3B456" w14:textId="6CE87529" w:rsidR="005A126E" w:rsidRDefault="005A126E">
      <w:pPr>
        <w:pStyle w:val="Lbjegyzetszveg"/>
      </w:pPr>
      <w:r>
        <w:rPr>
          <w:rStyle w:val="Lbjegyzet-hivatkozs"/>
        </w:rPr>
        <w:footnoteRef/>
      </w:r>
      <w:r>
        <w:t xml:space="preserve"> Az önkormányzati delegáltak esetén személyi összeférhetetlenségi szempontrendszert is érvényesíteni kell, pl. a településeket ne a fenntartott intézmények dolgozói v. azok közeli rokonai képviseljék.</w:t>
      </w:r>
    </w:p>
  </w:footnote>
  <w:footnote w:id="5">
    <w:p w14:paraId="1A709AF9" w14:textId="6FB84007" w:rsidR="00845CCB" w:rsidRDefault="00845CCB">
      <w:pPr>
        <w:pStyle w:val="Lbjegyzetszveg"/>
      </w:pPr>
      <w:r>
        <w:rPr>
          <w:rStyle w:val="Lbjegyzet-hivatkozs"/>
        </w:rPr>
        <w:footnoteRef/>
      </w:r>
      <w:r>
        <w:t xml:space="preserve"> A mostani HH-s bérpótlékot lényegesen meghaladó mértékben.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756613"/>
      <w:docPartObj>
        <w:docPartGallery w:val="Page Numbers (Top of Page)"/>
        <w:docPartUnique/>
      </w:docPartObj>
    </w:sdtPr>
    <w:sdtEndPr/>
    <w:sdtContent>
      <w:p w14:paraId="424FFB56" w14:textId="29479FA5" w:rsidR="008D7722" w:rsidRDefault="008D772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20DBB" w14:textId="77777777" w:rsidR="008D7722" w:rsidRDefault="008D77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B80"/>
    <w:multiLevelType w:val="hybridMultilevel"/>
    <w:tmpl w:val="1C82171C"/>
    <w:lvl w:ilvl="0" w:tplc="916454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BC8"/>
    <w:multiLevelType w:val="hybridMultilevel"/>
    <w:tmpl w:val="32821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4378"/>
    <w:multiLevelType w:val="hybridMultilevel"/>
    <w:tmpl w:val="28DE46BA"/>
    <w:lvl w:ilvl="0" w:tplc="916454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1AF2"/>
    <w:multiLevelType w:val="hybridMultilevel"/>
    <w:tmpl w:val="FDC0413A"/>
    <w:lvl w:ilvl="0" w:tplc="9164547A">
      <w:start w:val="5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CD16F1C"/>
    <w:multiLevelType w:val="hybridMultilevel"/>
    <w:tmpl w:val="0E96D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A0635"/>
    <w:multiLevelType w:val="hybridMultilevel"/>
    <w:tmpl w:val="4B22EB7C"/>
    <w:lvl w:ilvl="0" w:tplc="15BE7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B70"/>
    <w:multiLevelType w:val="hybridMultilevel"/>
    <w:tmpl w:val="F18AD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511D5"/>
    <w:multiLevelType w:val="hybridMultilevel"/>
    <w:tmpl w:val="75443C46"/>
    <w:lvl w:ilvl="0" w:tplc="916454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60FD"/>
    <w:multiLevelType w:val="multilevel"/>
    <w:tmpl w:val="199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E4"/>
    <w:rsid w:val="0003606D"/>
    <w:rsid w:val="00051255"/>
    <w:rsid w:val="000514EC"/>
    <w:rsid w:val="000518D6"/>
    <w:rsid w:val="00052921"/>
    <w:rsid w:val="000563F9"/>
    <w:rsid w:val="0008041E"/>
    <w:rsid w:val="0009210A"/>
    <w:rsid w:val="000A45EA"/>
    <w:rsid w:val="000D36E1"/>
    <w:rsid w:val="001018A8"/>
    <w:rsid w:val="00106F0A"/>
    <w:rsid w:val="0011137E"/>
    <w:rsid w:val="00111D5F"/>
    <w:rsid w:val="001254CD"/>
    <w:rsid w:val="001370CD"/>
    <w:rsid w:val="0013763B"/>
    <w:rsid w:val="001460D6"/>
    <w:rsid w:val="00150943"/>
    <w:rsid w:val="00156C2D"/>
    <w:rsid w:val="00160400"/>
    <w:rsid w:val="0018400E"/>
    <w:rsid w:val="00190C63"/>
    <w:rsid w:val="001974F2"/>
    <w:rsid w:val="001D6428"/>
    <w:rsid w:val="001E55E8"/>
    <w:rsid w:val="001E666A"/>
    <w:rsid w:val="001F750B"/>
    <w:rsid w:val="0021266C"/>
    <w:rsid w:val="0023173B"/>
    <w:rsid w:val="00231E5B"/>
    <w:rsid w:val="00235F88"/>
    <w:rsid w:val="00240784"/>
    <w:rsid w:val="00256BDD"/>
    <w:rsid w:val="00260417"/>
    <w:rsid w:val="00266127"/>
    <w:rsid w:val="00271CB6"/>
    <w:rsid w:val="00275ED3"/>
    <w:rsid w:val="002B345B"/>
    <w:rsid w:val="002C2BDA"/>
    <w:rsid w:val="00324AAA"/>
    <w:rsid w:val="003308B5"/>
    <w:rsid w:val="00341C07"/>
    <w:rsid w:val="00347E47"/>
    <w:rsid w:val="003520C6"/>
    <w:rsid w:val="00356550"/>
    <w:rsid w:val="00365E90"/>
    <w:rsid w:val="0037548D"/>
    <w:rsid w:val="00395F80"/>
    <w:rsid w:val="003A4863"/>
    <w:rsid w:val="003D20D1"/>
    <w:rsid w:val="003D599B"/>
    <w:rsid w:val="003E568C"/>
    <w:rsid w:val="00400FE1"/>
    <w:rsid w:val="00401EBD"/>
    <w:rsid w:val="004322BC"/>
    <w:rsid w:val="00461CF0"/>
    <w:rsid w:val="00462ADC"/>
    <w:rsid w:val="004963F6"/>
    <w:rsid w:val="004A10A8"/>
    <w:rsid w:val="004A194B"/>
    <w:rsid w:val="004A1991"/>
    <w:rsid w:val="004B14F4"/>
    <w:rsid w:val="004C262D"/>
    <w:rsid w:val="004C263F"/>
    <w:rsid w:val="004F1C28"/>
    <w:rsid w:val="00500F4E"/>
    <w:rsid w:val="00506859"/>
    <w:rsid w:val="00530F8F"/>
    <w:rsid w:val="00533212"/>
    <w:rsid w:val="00544334"/>
    <w:rsid w:val="00561143"/>
    <w:rsid w:val="00561452"/>
    <w:rsid w:val="005643FB"/>
    <w:rsid w:val="005871B8"/>
    <w:rsid w:val="005943B5"/>
    <w:rsid w:val="005A126E"/>
    <w:rsid w:val="005A333D"/>
    <w:rsid w:val="005D0362"/>
    <w:rsid w:val="005E3EFC"/>
    <w:rsid w:val="00601E5F"/>
    <w:rsid w:val="00610975"/>
    <w:rsid w:val="006313AA"/>
    <w:rsid w:val="006340CB"/>
    <w:rsid w:val="00637572"/>
    <w:rsid w:val="00646FC1"/>
    <w:rsid w:val="0065700C"/>
    <w:rsid w:val="006679FF"/>
    <w:rsid w:val="00667D91"/>
    <w:rsid w:val="00673AB7"/>
    <w:rsid w:val="006743F8"/>
    <w:rsid w:val="006903B7"/>
    <w:rsid w:val="006C01BD"/>
    <w:rsid w:val="006C6B5A"/>
    <w:rsid w:val="006C7442"/>
    <w:rsid w:val="006E2488"/>
    <w:rsid w:val="006E4A52"/>
    <w:rsid w:val="006E7DAF"/>
    <w:rsid w:val="006F3F41"/>
    <w:rsid w:val="00706C5E"/>
    <w:rsid w:val="00712F38"/>
    <w:rsid w:val="00721DF8"/>
    <w:rsid w:val="00726648"/>
    <w:rsid w:val="0073518B"/>
    <w:rsid w:val="007440CB"/>
    <w:rsid w:val="00746971"/>
    <w:rsid w:val="00750292"/>
    <w:rsid w:val="00774FA8"/>
    <w:rsid w:val="00797518"/>
    <w:rsid w:val="007A4D78"/>
    <w:rsid w:val="007D51B9"/>
    <w:rsid w:val="007F47D9"/>
    <w:rsid w:val="008161E4"/>
    <w:rsid w:val="008219C5"/>
    <w:rsid w:val="008306BD"/>
    <w:rsid w:val="008358C3"/>
    <w:rsid w:val="00836D0A"/>
    <w:rsid w:val="00837DF9"/>
    <w:rsid w:val="00845CCB"/>
    <w:rsid w:val="008474C1"/>
    <w:rsid w:val="00877F23"/>
    <w:rsid w:val="008840DB"/>
    <w:rsid w:val="008878AE"/>
    <w:rsid w:val="008A1E68"/>
    <w:rsid w:val="008D1B8D"/>
    <w:rsid w:val="008D7722"/>
    <w:rsid w:val="008E0A9E"/>
    <w:rsid w:val="008E2D09"/>
    <w:rsid w:val="008E55B5"/>
    <w:rsid w:val="008E7DEE"/>
    <w:rsid w:val="008F55ED"/>
    <w:rsid w:val="00913452"/>
    <w:rsid w:val="00925989"/>
    <w:rsid w:val="00933DE7"/>
    <w:rsid w:val="009452CA"/>
    <w:rsid w:val="00952FE8"/>
    <w:rsid w:val="00965170"/>
    <w:rsid w:val="00966214"/>
    <w:rsid w:val="00971BFB"/>
    <w:rsid w:val="00975350"/>
    <w:rsid w:val="00975932"/>
    <w:rsid w:val="009B3936"/>
    <w:rsid w:val="009B7308"/>
    <w:rsid w:val="009C321E"/>
    <w:rsid w:val="009C46B9"/>
    <w:rsid w:val="009D523E"/>
    <w:rsid w:val="009D6924"/>
    <w:rsid w:val="009D7D15"/>
    <w:rsid w:val="009E36AC"/>
    <w:rsid w:val="00A054FB"/>
    <w:rsid w:val="00A10654"/>
    <w:rsid w:val="00A10B55"/>
    <w:rsid w:val="00A341B5"/>
    <w:rsid w:val="00A55630"/>
    <w:rsid w:val="00A6339B"/>
    <w:rsid w:val="00AA07DC"/>
    <w:rsid w:val="00AA4582"/>
    <w:rsid w:val="00AB38F0"/>
    <w:rsid w:val="00AB3BD7"/>
    <w:rsid w:val="00AF5C2F"/>
    <w:rsid w:val="00B06F99"/>
    <w:rsid w:val="00B248AB"/>
    <w:rsid w:val="00B31130"/>
    <w:rsid w:val="00B41999"/>
    <w:rsid w:val="00B42A12"/>
    <w:rsid w:val="00B437FC"/>
    <w:rsid w:val="00B50EF6"/>
    <w:rsid w:val="00B60A78"/>
    <w:rsid w:val="00B64418"/>
    <w:rsid w:val="00B71A53"/>
    <w:rsid w:val="00B87EEB"/>
    <w:rsid w:val="00B9622E"/>
    <w:rsid w:val="00BA40FD"/>
    <w:rsid w:val="00BB48B1"/>
    <w:rsid w:val="00BB7DD0"/>
    <w:rsid w:val="00BC5BA3"/>
    <w:rsid w:val="00BD7873"/>
    <w:rsid w:val="00BE1503"/>
    <w:rsid w:val="00BF0D13"/>
    <w:rsid w:val="00C01F41"/>
    <w:rsid w:val="00C1517B"/>
    <w:rsid w:val="00C20873"/>
    <w:rsid w:val="00C24B25"/>
    <w:rsid w:val="00C274C1"/>
    <w:rsid w:val="00C32FC4"/>
    <w:rsid w:val="00C4380F"/>
    <w:rsid w:val="00C45CD6"/>
    <w:rsid w:val="00C460B7"/>
    <w:rsid w:val="00C476D5"/>
    <w:rsid w:val="00CB4094"/>
    <w:rsid w:val="00CB519F"/>
    <w:rsid w:val="00CD5236"/>
    <w:rsid w:val="00CD5ADC"/>
    <w:rsid w:val="00CE4822"/>
    <w:rsid w:val="00CE7EC3"/>
    <w:rsid w:val="00CF3CF5"/>
    <w:rsid w:val="00D072CD"/>
    <w:rsid w:val="00D13AE0"/>
    <w:rsid w:val="00D16190"/>
    <w:rsid w:val="00D24289"/>
    <w:rsid w:val="00D358A7"/>
    <w:rsid w:val="00D50A7A"/>
    <w:rsid w:val="00D57909"/>
    <w:rsid w:val="00D6101D"/>
    <w:rsid w:val="00D71DC5"/>
    <w:rsid w:val="00D73D7A"/>
    <w:rsid w:val="00D743AC"/>
    <w:rsid w:val="00D87D93"/>
    <w:rsid w:val="00D92929"/>
    <w:rsid w:val="00D97F61"/>
    <w:rsid w:val="00DC57AA"/>
    <w:rsid w:val="00DD5E91"/>
    <w:rsid w:val="00DF625C"/>
    <w:rsid w:val="00E017E2"/>
    <w:rsid w:val="00E04F59"/>
    <w:rsid w:val="00E315C3"/>
    <w:rsid w:val="00E34476"/>
    <w:rsid w:val="00E40029"/>
    <w:rsid w:val="00E60427"/>
    <w:rsid w:val="00E63446"/>
    <w:rsid w:val="00E81F77"/>
    <w:rsid w:val="00E8225C"/>
    <w:rsid w:val="00E92588"/>
    <w:rsid w:val="00E9578A"/>
    <w:rsid w:val="00EA7D45"/>
    <w:rsid w:val="00EC0384"/>
    <w:rsid w:val="00EC27C6"/>
    <w:rsid w:val="00ED0218"/>
    <w:rsid w:val="00ED1112"/>
    <w:rsid w:val="00ED5F7D"/>
    <w:rsid w:val="00EE3633"/>
    <w:rsid w:val="00EE6B37"/>
    <w:rsid w:val="00EF0DED"/>
    <w:rsid w:val="00EF6641"/>
    <w:rsid w:val="00F2791F"/>
    <w:rsid w:val="00F521A4"/>
    <w:rsid w:val="00F54C38"/>
    <w:rsid w:val="00F646C1"/>
    <w:rsid w:val="00F64C5A"/>
    <w:rsid w:val="00F66A36"/>
    <w:rsid w:val="00F735E5"/>
    <w:rsid w:val="00F73BE1"/>
    <w:rsid w:val="00F76F01"/>
    <w:rsid w:val="00F80253"/>
    <w:rsid w:val="00F81100"/>
    <w:rsid w:val="00F934F8"/>
    <w:rsid w:val="00F93BD2"/>
    <w:rsid w:val="00FA24BC"/>
    <w:rsid w:val="00FC5125"/>
    <w:rsid w:val="00FC5D64"/>
    <w:rsid w:val="00FE2396"/>
    <w:rsid w:val="00FE77C5"/>
    <w:rsid w:val="00FF2D3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B236"/>
  <w15:chartTrackingRefBased/>
  <w15:docId w15:val="{3AB066D9-9988-4316-B457-DAB4585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61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8161E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8306BD"/>
  </w:style>
  <w:style w:type="paragraph" w:styleId="NormlWeb">
    <w:name w:val="Normal (Web)"/>
    <w:basedOn w:val="Norml"/>
    <w:uiPriority w:val="99"/>
    <w:semiHidden/>
    <w:unhideWhenUsed/>
    <w:rsid w:val="0034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74FA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74FA8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943B5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9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43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43B5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5A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5A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5AD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D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722"/>
  </w:style>
  <w:style w:type="paragraph" w:styleId="llb">
    <w:name w:val="footer"/>
    <w:basedOn w:val="Norml"/>
    <w:link w:val="llbChar"/>
    <w:uiPriority w:val="99"/>
    <w:unhideWhenUsed/>
    <w:rsid w:val="008D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EEA1-BB52-4C58-A542-741FDAD4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3025</Words>
  <Characters>20879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Váradi</dc:creator>
  <cp:keywords/>
  <dc:description/>
  <cp:lastModifiedBy>Ágnes Juhász</cp:lastModifiedBy>
  <cp:revision>2</cp:revision>
  <dcterms:created xsi:type="dcterms:W3CDTF">2022-04-01T06:00:00Z</dcterms:created>
  <dcterms:modified xsi:type="dcterms:W3CDTF">2022-04-01T06:00:00Z</dcterms:modified>
</cp:coreProperties>
</file>